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ascii="宋体" w:hAnsi="宋体" w:eastAsia="宋体" w:cs="Times New Roman"/>
          <w:color w:val="auto"/>
          <w:sz w:val="26"/>
          <w:highlight w:val="none"/>
          <w:lang w:val="en-US" w:eastAsia="zh-CN" w:bidi="ar-SA"/>
        </w:rPr>
      </w:pPr>
      <w:r>
        <w:rPr>
          <w:rFonts w:ascii="宋体" w:hAnsi="宋体" w:eastAsia="宋体" w:cs="Times New Roman"/>
          <w:color w:val="auto"/>
          <w:sz w:val="26"/>
          <w:highlight w:val="none"/>
          <w:lang w:val="en-US" w:eastAsia="zh-CN" w:bidi="ar-SA"/>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916"/>
        <w:rPr>
          <w:color w:val="auto"/>
          <w:highlight w:val="none"/>
        </w:rPr>
      </w:pPr>
      <w:r>
        <w:rPr>
          <w:color w:val="auto"/>
          <w:highlight w:val="none"/>
        </w:rPr>
      </w:r>
      <w:r/>
    </w:p>
    <w:p>
      <w:pPr>
        <w:pStyle w:val="916"/>
        <w:rPr>
          <w:color w:val="auto"/>
          <w:highlight w:val="none"/>
        </w:rPr>
      </w:pPr>
      <w:r>
        <w:rPr>
          <w:color w:val="auto"/>
          <w:highlight w:val="none"/>
        </w:rPr>
      </w:r>
      <w:r/>
    </w:p>
    <w:p>
      <w:pPr>
        <w:pStyle w:val="916"/>
        <w:rPr>
          <w:color w:val="auto"/>
          <w:highlight w:val="none"/>
        </w:rPr>
      </w:pPr>
      <w:r>
        <w:rPr>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spacing w:line="360" w:lineRule="auto"/>
        <w:rPr>
          <w:rFonts w:ascii="宋体" w:hAnsi="宋体" w:eastAsia="宋体"/>
          <w:b/>
          <w:color w:val="auto"/>
          <w:sz w:val="72"/>
          <w:highlight w:val="none"/>
        </w:rPr>
      </w:pPr>
      <w:r>
        <w:rPr>
          <w:rFonts w:hint="eastAsia" w:ascii="宋体" w:hAnsi="宋体" w:eastAsia="宋体"/>
          <w:b/>
          <w:color w:val="auto"/>
          <w:sz w:val="72"/>
          <w:highlight w:val="none"/>
        </w:rPr>
        <w:t xml:space="preserve">政府采购谈判文件</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tbl>
      <w:tblPr>
        <w:tblStyle w:val="8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760"/>
        <w:gridCol w:w="6488"/>
      </w:tblGrid>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采购编号：</w:t>
            </w:r>
            <w:r/>
          </w:p>
        </w:tc>
        <w:tc>
          <w:tcPr>
            <w:tcW w:w="3507" w:type="pct"/>
            <w:vAlign w:val="top"/>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JSZC-320583-LHZX-T2025-0049</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采购单位：</w:t>
            </w:r>
            <w:r/>
          </w:p>
        </w:tc>
        <w:tc>
          <w:tcPr>
            <w:tcW w:w="3507" w:type="pct"/>
            <w:vAlign w:val="top"/>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昆山市妇幼保健院</w:t>
            </w:r>
            <w:r/>
          </w:p>
        </w:tc>
      </w:tr>
      <w:tr>
        <w:trPr>
          <w:trHeight w:val="543"/>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采购内容：</w:t>
            </w:r>
            <w:r/>
          </w:p>
        </w:tc>
        <w:tc>
          <w:tcPr>
            <w:tcW w:w="3507" w:type="pct"/>
            <w:vAlign w:val="top"/>
            <w:textDirection w:val="lrTb"/>
            <w:noWrap w:val="false"/>
          </w:tcPr>
          <w:p>
            <w:pPr>
              <w:spacing w:line="360" w:lineRule="auto"/>
              <w:rPr>
                <w:rFonts w:hint="eastAsia" w:ascii="宋体" w:hAnsi="宋体"/>
                <w:b/>
                <w:color w:val="auto"/>
                <w:highlight w:val="none"/>
              </w:rPr>
            </w:pPr>
            <w:r>
              <w:rPr>
                <w:rFonts w:hint="eastAsia" w:ascii="宋体" w:hAnsi="宋体" w:eastAsia="宋体"/>
                <w:b/>
                <w:bCs/>
                <w:color w:val="auto"/>
                <w:sz w:val="32"/>
                <w:highlight w:val="none"/>
                <w:lang w:eastAsia="zh-CN"/>
              </w:rPr>
              <w:t xml:space="preserve">全自动医用PCR分析系统（扩增设备）</w:t>
            </w:r>
            <w:r>
              <w:rPr>
                <w:rFonts w:hint="eastAsia" w:ascii="宋体" w:hAnsi="宋体" w:eastAsia="宋体"/>
                <w:b/>
                <w:bCs/>
                <w:color w:val="auto"/>
                <w:sz w:val="32"/>
                <w:highlight w:val="none"/>
              </w:rPr>
              <w:t xml:space="preserve">项目</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采购类别：</w:t>
            </w:r>
            <w:r/>
          </w:p>
        </w:tc>
        <w:tc>
          <w:tcPr>
            <w:tcW w:w="3507" w:type="pct"/>
            <w:vAlign w:val="top"/>
            <w:textDirection w:val="lrTb"/>
            <w:noWrap w:val="false"/>
          </w:tcPr>
          <w:p>
            <w:pPr>
              <w:spacing w:line="360" w:lineRule="auto"/>
              <w:rPr>
                <w:rFonts w:ascii="宋体" w:hAnsi="宋体"/>
                <w:b/>
                <w:color w:val="auto"/>
                <w:highlight w:val="none"/>
              </w:rPr>
            </w:pPr>
            <w:r>
              <w:rPr>
                <w:rFonts w:hint="eastAsia" w:ascii="宋体" w:hAnsi="宋体" w:eastAsia="宋体"/>
                <w:b/>
                <w:color w:val="auto"/>
                <w:spacing w:val="-6"/>
                <w:sz w:val="32"/>
                <w:highlight w:val="none"/>
              </w:rPr>
              <w:t xml:space="preserve">货物类</w:t>
            </w:r>
            <w:r/>
          </w:p>
        </w:tc>
      </w:tr>
    </w:tbl>
    <w:p>
      <w:pPr>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eastAsia="宋体"/>
          <w:b/>
          <w:bCs/>
          <w:color w:val="auto"/>
          <w:sz w:val="32"/>
          <w:highlight w:val="none"/>
        </w:rPr>
      </w:pPr>
      <w:r>
        <w:rPr>
          <w:rFonts w:ascii="宋体" w:hAnsi="宋体" w:eastAsia="宋体"/>
          <w:b/>
          <w:bCs/>
          <w:color w:val="auto"/>
          <w:sz w:val="32"/>
          <w:highlight w:val="none"/>
        </w:rPr>
      </w:r>
      <w:r/>
    </w:p>
    <w:p>
      <w:pPr>
        <w:jc w:val="center"/>
        <w:spacing w:line="360" w:lineRule="auto"/>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mc:AlternateContent>
          <mc:Choice Requires="wpg">
            <w:drawing>
              <wp:inline xmlns:wp="http://schemas.openxmlformats.org/drawingml/2006/wordprocessingDrawing" distT="0" distB="0" distL="0" distR="0">
                <wp:extent cx="3048000" cy="1677035"/>
                <wp:effectExtent l="0" t="0" r="0" b="18415"/>
                <wp:docPr id="5"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F:\单位照片—乐慧\QQ图片20180411122618.jpg"/>
                        <pic:cNvPicPr>
                          <a:picLocks noChangeAspect="1"/>
                        </pic:cNvPicPr>
                        <pic:nvPr/>
                      </pic:nvPicPr>
                      <pic:blipFill>
                        <a:blip r:embed="rId25"/>
                        <a:stretch/>
                      </pic:blipFill>
                      <pic:spPr bwMode="auto">
                        <a:xfrm rot="10800000" flipH="1" flipV="1">
                          <a:off x="0" y="0"/>
                          <a:ext cx="3048000"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0.0pt;height:132.0pt;mso-wrap-distance-left:0.0pt;mso-wrap-distance-top:0.0pt;mso-wrap-distance-right:0.0pt;mso-wrap-distance-bottom:0.0pt;rotation:180;flip:xy;" stroked="f">
                <v:path textboxrect="0,0,0,0"/>
                <v:imagedata r:id="rId25" o:title=""/>
              </v:shape>
            </w:pict>
          </mc:Fallback>
        </mc:AlternateContent>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ind w:firstLine="157"/>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苏州乐慧招投标咨询有限公司</w:t>
      </w:r>
      <w:r/>
    </w:p>
    <w:p>
      <w:pPr>
        <w:jc w:val="center"/>
        <w:tabs>
          <w:tab w:val="left" w:pos="315" w:leader="none"/>
          <w:tab w:val="center" w:pos="4153" w:leader="none"/>
        </w:tabs>
        <w:rPr>
          <w:rFonts w:ascii="宋体" w:hAnsi="宋体" w:eastAsia="宋体"/>
          <w:b/>
          <w:color w:val="auto"/>
          <w:sz w:val="32"/>
          <w:highlight w:val="none"/>
        </w:rPr>
      </w:pPr>
      <w:r>
        <w:rPr>
          <w:rFonts w:hint="eastAsia" w:ascii="宋体" w:hAnsi="宋体" w:eastAsia="宋体"/>
          <w:b/>
          <w:color w:val="auto"/>
          <w:sz w:val="32"/>
          <w:highlight w:val="none"/>
        </w:rPr>
        <w:t xml:space="preserve">202</w:t>
      </w:r>
      <w:r>
        <w:rPr>
          <w:rFonts w:hint="eastAsia" w:ascii="宋体" w:hAnsi="宋体" w:eastAsia="宋体"/>
          <w:b/>
          <w:color w:val="auto"/>
          <w:sz w:val="32"/>
          <w:highlight w:val="none"/>
          <w:lang w:val="en-US" w:eastAsia="zh-CN"/>
        </w:rPr>
        <w:t xml:space="preserve">5</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11</w:t>
      </w:r>
      <w:r>
        <w:rPr>
          <w:rFonts w:hint="eastAsia" w:ascii="宋体" w:hAnsi="宋体" w:eastAsia="宋体"/>
          <w:b/>
          <w:color w:val="auto"/>
          <w:sz w:val="32"/>
          <w:highlight w:val="none"/>
        </w:rPr>
        <w:t xml:space="preserve">月</w:t>
      </w:r>
      <w:r/>
    </w:p>
    <w:p>
      <w:pPr>
        <w:spacing w:line="500" w:lineRule="exact"/>
        <w:rPr>
          <w:rFonts w:ascii="宋体" w:hAnsi="宋体" w:eastAsia="宋体"/>
          <w:b/>
          <w:color w:val="auto"/>
          <w:sz w:val="36"/>
          <w:highlight w:val="none"/>
        </w:rPr>
      </w:pPr>
      <w:r>
        <w:rPr>
          <w:rFonts w:ascii="宋体" w:hAnsi="宋体" w:eastAsia="宋体"/>
          <w:b/>
          <w:color w:val="auto"/>
          <w:sz w:val="36"/>
          <w:highlight w:val="none"/>
        </w:rPr>
      </w:r>
      <w:r/>
    </w:p>
    <w:p>
      <w:pPr>
        <w:rPr>
          <w:rFonts w:ascii="黑体" w:eastAsia="黑体"/>
          <w:b/>
          <w:bCs/>
          <w:color w:val="auto"/>
          <w:spacing w:val="20"/>
          <w:sz w:val="32"/>
          <w:szCs w:val="3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366" w:bottom="1134" w:left="1508" w:header="569" w:footer="675" w:gutter="0"/>
          <w:pgNumType w:start="1"/>
          <w:cols w:num="1" w:sep="0" w:space="720" w:equalWidth="1"/>
          <w:docGrid w:linePitch="360"/>
          <w:titlePg/>
        </w:sectPr>
      </w:pPr>
      <w:r>
        <w:rPr>
          <w:rFonts w:ascii="黑体" w:eastAsia="黑体"/>
          <w:b/>
          <w:bCs/>
          <w:color w:val="auto"/>
          <w:spacing w:val="20"/>
          <w:sz w:val="32"/>
          <w:szCs w:val="32"/>
          <w:highlight w:val="none"/>
        </w:rPr>
      </w:r>
      <w:r/>
    </w:p>
    <w:p>
      <w:pPr>
        <w:jc w:val="center"/>
        <w:rPr>
          <w:rFonts w:ascii="宋体" w:hAnsi="宋体" w:eastAsia="宋体"/>
          <w:b/>
          <w:bCs/>
          <w:color w:val="auto"/>
          <w:spacing w:val="20"/>
          <w:sz w:val="32"/>
          <w:szCs w:val="32"/>
          <w:highlight w:val="none"/>
        </w:rPr>
      </w:pPr>
      <w:r>
        <w:rPr>
          <w:rFonts w:hint="eastAsia" w:ascii="宋体" w:hAnsi="宋体" w:eastAsia="宋体"/>
          <w:b/>
          <w:bCs/>
          <w:color w:val="auto"/>
          <w:spacing w:val="20"/>
          <w:sz w:val="32"/>
          <w:szCs w:val="32"/>
          <w:highlight w:val="none"/>
        </w:rPr>
        <w:t xml:space="preserve">前</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附</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表</w:t>
      </w:r>
      <w:r/>
    </w:p>
    <w:tbl>
      <w:tblPr>
        <w:tblStyle w:val="89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487"/>
        <w:gridCol w:w="7014"/>
      </w:tblGrid>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87" w:type="dxa"/>
            <w:vAlign w:val="top"/>
            <w:textDirection w:val="lrTb"/>
            <w:noWrap w:val="false"/>
          </w:tcPr>
          <w:p>
            <w:pPr>
              <w:jc w:val="center"/>
              <w:spacing w:line="276" w:lineRule="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名称</w:t>
            </w:r>
            <w:r/>
          </w:p>
        </w:tc>
        <w:tc>
          <w:tcPr>
            <w:tcBorders>
              <w:top w:val="single" w:color="auto" w:sz="6" w:space="0"/>
              <w:left w:val="single" w:color="auto" w:sz="6" w:space="0"/>
              <w:bottom w:val="single" w:color="auto" w:sz="6" w:space="0"/>
            </w:tcBorders>
            <w:tcW w:w="7014"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内容</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采购编号</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JSZC-320583-LHZX-T2025-0049</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采购内容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全自动医用PCR分析系统（扩增设备）项目</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谈判有效期</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响应文件有效期为响应文件提交截止之日起六十天（日历日）</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谈判保证金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本项目不收投标（响应）保证金</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代理服务费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服务费：成交单位在领取成交通知书时按以下收费标准向采购代理机构支付代理服务费。</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收费标准：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预算金额100万元以下部分，费率为该部分预算金额的1.5%；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预算金额100万元（含）－500万元部分，费率为该部分预算金额的1.1%；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预算金额500万元（含）-1000万元部分，费率为该部分预算金额的0.8%；</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预算金额1000万元（含）-5000万元部分，费率为该部分预算金额的0.5%；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预算金额5000万元以上部分，费率为该部分预算金额的0.25%。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服务费账号：155189060</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账户名：苏州乐慧招投标咨询有限公司</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开户行：民生银行苏州相城支行</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履约保证金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p>
        </w:tc>
      </w:tr>
    </w:tbl>
    <w:p>
      <w:pPr>
        <w:rPr>
          <w:rFonts w:ascii="宋体" w:hAnsi="宋体" w:eastAsia="宋体"/>
          <w:color w:val="auto"/>
          <w:highlight w:val="none"/>
        </w:rPr>
      </w:pPr>
      <w:r>
        <w:rPr>
          <w:rFonts w:ascii="宋体" w:hAnsi="宋体" w:eastAsia="宋体"/>
          <w:color w:val="auto"/>
          <w:highlight w:val="none"/>
        </w:rPr>
      </w:r>
      <w:r/>
    </w:p>
    <w:p>
      <w:pPr>
        <w:ind w:firstLine="0"/>
        <w:jc w:val="center"/>
        <w:widowControl w:val="off"/>
        <w:rPr>
          <w:rFonts w:ascii="宋体" w:hAnsi="宋体" w:eastAsia="宋体" w:cs="Times New Roman"/>
          <w:b/>
          <w:color w:val="auto"/>
          <w:sz w:val="30"/>
          <w:szCs w:val="30"/>
          <w:highlight w:val="none"/>
          <w:lang w:val="en-US" w:eastAsia="zh-CN" w:bidi="ar-SA"/>
        </w:rPr>
      </w:pPr>
      <w:r>
        <w:rPr>
          <w:rFonts w:ascii="宋体" w:hAnsi="宋体" w:eastAsia="宋体" w:cs="Times New Roman"/>
          <w:b/>
          <w:color w:val="auto"/>
          <w:sz w:val="30"/>
          <w:szCs w:val="30"/>
          <w:highlight w:val="none"/>
          <w:lang w:val="en-US" w:eastAsia="zh-CN" w:bidi="ar-SA"/>
        </w:rPr>
        <w:br w:type="page" w:clear="all"/>
      </w:r>
      <w:r/>
    </w:p>
    <w:p>
      <w:pPr>
        <w:ind w:firstLine="0"/>
        <w:jc w:val="center"/>
        <w:widowControl w:val="off"/>
        <w:rPr>
          <w:rFonts w:ascii="宋体" w:hAnsi="宋体" w:eastAsia="宋体" w:cs="Times New Roman"/>
          <w:b/>
          <w:color w:val="auto"/>
          <w:sz w:val="52"/>
          <w:szCs w:val="52"/>
          <w:highlight w:val="none"/>
          <w:lang w:val="en-US" w:eastAsia="zh-CN" w:bidi="ar-SA"/>
        </w:rPr>
      </w:pPr>
      <w:r>
        <w:rPr>
          <w:rFonts w:hint="eastAsia" w:ascii="宋体" w:hAnsi="宋体" w:eastAsia="宋体" w:cs="Times New Roman"/>
          <w:b/>
          <w:color w:val="auto"/>
          <w:sz w:val="52"/>
          <w:szCs w:val="52"/>
          <w:highlight w:val="none"/>
          <w:lang w:val="en-US" w:eastAsia="zh-CN" w:bidi="ar-SA"/>
        </w:rPr>
        <w:t xml:space="preserve">目 录</w:t>
      </w:r>
      <w:r/>
    </w:p>
    <w:p>
      <w:pPr>
        <w:ind w:firstLine="0"/>
        <w:jc w:val="center"/>
        <w:widowControl w:val="off"/>
        <w:rPr>
          <w:rFonts w:ascii="宋体" w:hAnsi="宋体" w:eastAsia="宋体" w:cs="Times New Roman"/>
          <w:color w:val="auto"/>
          <w:sz w:val="30"/>
          <w:highlight w:val="none"/>
          <w:lang w:val="en-US" w:eastAsia="zh-CN" w:bidi="ar-SA"/>
        </w:rPr>
      </w:pPr>
      <w:r>
        <w:rPr>
          <w:rFonts w:ascii="宋体" w:hAnsi="宋体" w:eastAsia="宋体" w:cs="Times New Roman"/>
          <w:color w:val="auto"/>
          <w:sz w:val="30"/>
          <w:highlight w:val="none"/>
          <w:lang w:val="en-US" w:eastAsia="zh-CN" w:bidi="ar-SA"/>
        </w:rPr>
      </w:r>
      <w:r/>
    </w:p>
    <w:p>
      <w:pPr>
        <w:ind w:firstLine="0"/>
        <w:jc w:val="center"/>
        <w:widowControl w:val="off"/>
        <w:rPr>
          <w:rFonts w:ascii="宋体" w:hAnsi="宋体" w:eastAsia="宋体" w:cs="Times New Roman"/>
          <w:color w:val="auto"/>
          <w:sz w:val="30"/>
          <w:highlight w:val="none"/>
          <w:lang w:val="en-US" w:eastAsia="zh-CN" w:bidi="ar-SA"/>
        </w:rPr>
      </w:pPr>
      <w:r>
        <w:rPr>
          <w:rFonts w:ascii="宋体" w:hAnsi="宋体" w:eastAsia="宋体" w:cs="Times New Roman"/>
          <w:color w:val="auto"/>
          <w:sz w:val="30"/>
          <w:highlight w:val="none"/>
          <w:lang w:val="en-US" w:eastAsia="zh-CN" w:bidi="ar-SA"/>
        </w:rPr>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TOC \o "1-1"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第一章 谈判邀请函</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第二章 谈判供应商须知</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第三章 谈判响应文件格式</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第四章 谈判采购内容</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第五章 合同主要条款</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第六章 评审办法</w:t>
      </w:r>
      <w:r/>
    </w:p>
    <w:p>
      <w:pPr>
        <w:ind w:firstLine="0"/>
        <w:jc w:val="center"/>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end"/>
      </w:r>
      <w:r/>
    </w:p>
    <w:p>
      <w:pPr>
        <w:rPr>
          <w:rFonts w:ascii="宋体" w:hAnsi="宋体" w:eastAsia="宋体"/>
          <w:b/>
          <w:color w:val="auto"/>
          <w:sz w:val="32"/>
          <w:highlight w:val="none"/>
        </w:rPr>
      </w:pPr>
      <w:r>
        <w:rPr>
          <w:rFonts w:ascii="宋体" w:hAnsi="宋体" w:eastAsia="宋体"/>
          <w:b/>
          <w:color w:val="auto"/>
          <w:sz w:val="32"/>
          <w:highlight w:val="none"/>
        </w:rPr>
        <w:br w:type="page" w:clear="all"/>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bookmarkStart w:id="0" w:name="_Toc403"/>
      <w:r/>
      <w:bookmarkStart w:id="1" w:name="_Toc466918796"/>
      <w:r>
        <w:rPr>
          <w:rFonts w:hint="eastAsia" w:ascii="宋体" w:hAnsi="宋体" w:eastAsia="宋体" w:cs="Times New Roman"/>
          <w:b/>
          <w:color w:val="auto"/>
          <w:sz w:val="52"/>
          <w:highlight w:val="none"/>
          <w:lang w:val="en-US" w:eastAsia="zh-CN" w:bidi="ar-SA"/>
        </w:rPr>
        <w:t xml:space="preserve">第一章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谈判邀请函</w:t>
      </w:r>
      <w:bookmarkEnd w:id="0"/>
      <w:r/>
      <w:bookmarkEnd w:id="1"/>
      <w:r/>
      <w:r/>
    </w:p>
    <w:p>
      <w:pPr>
        <w:spacing w:line="360" w:lineRule="auto"/>
        <w:rPr>
          <w:rFonts w:ascii="宋体" w:hAnsi="宋体" w:eastAsia="宋体"/>
          <w:color w:val="auto"/>
          <w:highlight w:val="none"/>
        </w:rPr>
      </w:pPr>
      <w:r>
        <w:rPr>
          <w:rFonts w:ascii="宋体" w:hAnsi="宋体" w:eastAsia="宋体"/>
          <w:color w:val="auto"/>
          <w:highlight w:val="none"/>
        </w:rPr>
        <w:br w:type="page" w:clear="all"/>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80"/>
              <w:jc w:val="left"/>
              <w:spacing w:line="360" w:lineRule="auto"/>
              <w:shd w:val="clear" w:color="auto" w:fill="ffffff"/>
              <w:widowControl/>
              <w:rPr>
                <w:rFonts w:ascii="宋体" w:hAnsi="宋体" w:eastAsia="宋体" w:cs="宋体"/>
                <w:color w:val="auto"/>
                <w:sz w:val="24"/>
                <w:szCs w:val="24"/>
                <w:highlight w:val="none"/>
              </w:rPr>
            </w:pPr>
            <w:r/>
            <w:bookmarkStart w:id="2" w:name="_Toc35393629"/>
            <w:r/>
            <w:bookmarkStart w:id="3" w:name="_Toc28359089"/>
            <w:r/>
            <w:bookmarkStart w:id="4" w:name="_Toc28359012"/>
            <w:r/>
            <w:bookmarkStart w:id="5" w:name="_Toc35393798"/>
            <w:r/>
            <w:bookmarkStart w:id="6" w:name="_Toc466918797"/>
            <w:r>
              <w:rPr>
                <w:rFonts w:hint="eastAsia" w:ascii="宋体" w:hAnsi="宋体" w:eastAsia="宋体" w:cs="宋体"/>
                <w:color w:val="auto"/>
                <w:sz w:val="24"/>
                <w:szCs w:val="24"/>
                <w:highlight w:val="none"/>
              </w:rPr>
              <w:t xml:space="preserve">项目概况</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昆山市妇幼保健院</w:t>
            </w: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全自动医用PCR分析系统（扩增设备）</w:t>
            </w:r>
            <w:r>
              <w:rPr>
                <w:rFonts w:hint="eastAsia" w:ascii="宋体" w:hAnsi="宋体" w:eastAsia="宋体" w:cs="宋体"/>
                <w:color w:val="auto"/>
                <w:sz w:val="24"/>
                <w:szCs w:val="24"/>
                <w:highlight w:val="none"/>
              </w:rPr>
              <w:t xml:space="preserve">采购项目的潜在供应商应在苏采云系统获取采购文件，并于</w:t>
            </w:r>
            <w:r>
              <w:rPr>
                <w:rFonts w:hint="eastAsia" w:ascii="宋体" w:hAnsi="宋体" w:eastAsia="宋体" w:cs="宋体"/>
                <w:color w:val="auto"/>
                <w:sz w:val="24"/>
                <w:szCs w:val="24"/>
                <w:highlight w:val="none"/>
                <w:lang w:eastAsia="zh-CN"/>
              </w:rPr>
              <w:t xml:space="preserve">2025年11月26日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点30分（北京时间）前提交响应文件。</w:t>
            </w:r>
            <w:r/>
          </w:p>
        </w:tc>
      </w:tr>
    </w:tbl>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2"/>
      <w:r/>
      <w:bookmarkEnd w:id="3"/>
      <w:r/>
      <w:bookmarkEnd w:id="4"/>
      <w:r/>
      <w:bookmarkEnd w:id="5"/>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JSZC-320583-LHZX-T2025-0049</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全自动医用PCR分析系统（扩增设备）</w:t>
      </w:r>
      <w:r>
        <w:rPr>
          <w:rFonts w:hint="eastAsia" w:ascii="宋体" w:hAnsi="宋体" w:eastAsia="宋体" w:cs="宋体"/>
          <w:color w:val="auto"/>
          <w:sz w:val="24"/>
          <w:szCs w:val="24"/>
          <w:highlight w:val="none"/>
        </w:rPr>
        <w:t xml:space="preserve">项目</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3.采购方式：竞争性谈判</w:t>
      </w:r>
      <w:r/>
    </w:p>
    <w:p>
      <w:pPr>
        <w:ind w:firstLine="480"/>
        <w:spacing w:line="355"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人民币玖拾万元整（￥900000.00）</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人民币玖拾万元整（￥900000.00）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bookmarkStart w:id="7" w:name="_Toc35393799"/>
      <w:r/>
      <w:bookmarkStart w:id="8" w:name="_Toc28359090"/>
      <w:r/>
      <w:bookmarkStart w:id="9" w:name="_Toc28359013"/>
      <w:r/>
      <w:bookmarkStart w:id="10" w:name="_Toc35393630"/>
      <w:r>
        <w:rPr>
          <w:rFonts w:hint="eastAsia" w:ascii="宋体" w:hAnsi="宋体" w:eastAsia="宋体" w:cs="宋体"/>
          <w:color w:val="auto"/>
          <w:sz w:val="24"/>
          <w:szCs w:val="24"/>
          <w:highlight w:val="none"/>
          <w:lang w:eastAsia="zh-CN"/>
        </w:rPr>
        <w:t xml:space="preserve">昆山市妇幼保健院</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全自动医用PCR分析系统（扩增设备）</w:t>
      </w:r>
      <w:r>
        <w:rPr>
          <w:rFonts w:hint="eastAsia" w:ascii="宋体" w:hAnsi="宋体" w:eastAsia="宋体" w:cs="宋体"/>
          <w:color w:val="auto"/>
          <w:sz w:val="24"/>
          <w:szCs w:val="24"/>
          <w:highlight w:val="none"/>
          <w:lang w:val="en-US" w:eastAsia="zh-CN"/>
        </w:rPr>
        <w:t xml:space="preserve">2台</w:t>
      </w:r>
      <w:r>
        <w:rPr>
          <w:rFonts w:hint="eastAsia" w:ascii="宋体" w:hAnsi="宋体" w:eastAsia="宋体" w:cs="宋体"/>
          <w:color w:val="auto"/>
          <w:sz w:val="24"/>
          <w:szCs w:val="24"/>
          <w:highlight w:val="none"/>
        </w:rPr>
        <w:t xml:space="preserve">。</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eastAsia="宋体" w:cs="宋体"/>
          <w:color w:val="auto"/>
          <w:sz w:val="24"/>
          <w:szCs w:val="24"/>
          <w:highlight w:val="none"/>
          <w:lang w:eastAsia="zh-CN"/>
        </w:rPr>
        <w:t xml:space="preserve">合同签订之日起30个工作日内交货、安装及调试完成</w:t>
      </w:r>
      <w:r>
        <w:rPr>
          <w:rFonts w:hint="eastAsia" w:ascii="宋体" w:hAnsi="宋体" w:eastAsia="宋体" w:cs="宋体"/>
          <w:color w:val="auto"/>
          <w:sz w:val="24"/>
          <w:szCs w:val="24"/>
          <w:highlight w:val="none"/>
        </w:rPr>
        <w:t xml:space="preserve">。</w:t>
      </w:r>
      <w:r/>
    </w:p>
    <w:p>
      <w:pPr>
        <w:ind w:firstLine="480"/>
        <w:spacing w:line="355"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8.本项目不接受进口产品。</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7"/>
      <w:r/>
      <w:bookmarkEnd w:id="8"/>
      <w:r/>
      <w:bookmarkEnd w:id="9"/>
      <w:r/>
      <w:bookmarkEnd w:id="10"/>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1.3具有履行合同所必须的设备和专业技术能力；</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55" w:lineRule="auto"/>
        <w:widowControl/>
        <w:rPr>
          <w:rFonts w:hint="eastAsia" w:ascii="宋体" w:hAnsi="宋体" w:eastAsia="宋体" w:cs="宋体"/>
          <w:color w:val="auto"/>
          <w:sz w:val="24"/>
          <w:szCs w:val="24"/>
          <w:highlight w:val="none"/>
          <w:lang w:val="en-US" w:eastAsia="zh-CN"/>
        </w:rPr>
      </w:pPr>
      <w:r/>
      <w:bookmarkStart w:id="11" w:name="_Toc28359014"/>
      <w:r/>
      <w:bookmarkStart w:id="12" w:name="_Toc28359091"/>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本项目的特定资格要求：医疗器械生产企业许可或医疗器械经营企业许可证</w:t>
      </w:r>
      <w:r>
        <w:rPr>
          <w:rFonts w:hint="eastAsia" w:ascii="宋体" w:hAnsi="宋体" w:eastAsia="宋体" w:cs="宋体"/>
          <w:color w:val="auto"/>
          <w:sz w:val="24"/>
          <w:szCs w:val="24"/>
          <w:highlight w:val="none"/>
          <w:lang w:eastAsia="zh-CN"/>
        </w:rPr>
        <w:t xml:space="preserve">。</w:t>
      </w:r>
      <w:bookmarkEnd w:id="11"/>
      <w:r/>
      <w:bookmarkEnd w:id="12"/>
      <w:r/>
      <w:r/>
    </w:p>
    <w:p>
      <w:pPr>
        <w:spacing w:line="355" w:lineRule="auto"/>
        <w:widowControl/>
        <w:rPr>
          <w:rFonts w:ascii="宋体" w:hAnsi="宋体" w:eastAsia="宋体" w:cs="宋体"/>
          <w:b/>
          <w:color w:val="auto"/>
          <w:sz w:val="24"/>
          <w:szCs w:val="24"/>
          <w:highlight w:val="none"/>
        </w:rPr>
      </w:pPr>
      <w:r/>
      <w:bookmarkStart w:id="13" w:name="_Toc35393789"/>
      <w:r/>
      <w:bookmarkStart w:id="14" w:name="_Toc28359001"/>
      <w:r/>
      <w:bookmarkStart w:id="15" w:name="_Toc35393801"/>
      <w:r/>
      <w:bookmarkStart w:id="16" w:name="_Toc28359015"/>
      <w:r/>
      <w:bookmarkStart w:id="17" w:name="_Toc35393632"/>
      <w:r/>
      <w:bookmarkStart w:id="18" w:name="_Toc28359092"/>
      <w:r>
        <w:rPr>
          <w:rFonts w:hint="eastAsia" w:ascii="宋体" w:hAnsi="宋体" w:eastAsia="宋体" w:cs="宋体"/>
          <w:b/>
          <w:color w:val="auto"/>
          <w:sz w:val="24"/>
          <w:szCs w:val="24"/>
          <w:highlight w:val="none"/>
        </w:rPr>
        <w:t xml:space="preserve">三、报名及采购文件的获取</w:t>
      </w:r>
      <w:bookmarkEnd w:id="13"/>
      <w:r/>
      <w:bookmarkEnd w:id="14"/>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1.时间：自本公告发布之日起至</w:t>
      </w:r>
      <w:r>
        <w:rPr>
          <w:rFonts w:hint="eastAsia" w:ascii="宋体" w:hAnsi="宋体" w:eastAsia="宋体" w:cs="宋体"/>
          <w:color w:val="auto"/>
          <w:sz w:val="24"/>
          <w:szCs w:val="24"/>
          <w:highlight w:val="none"/>
          <w:lang w:eastAsia="zh-CN"/>
        </w:rPr>
        <w:t xml:space="preserve">2025年11月</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w:t>
      </w:r>
      <w:r/>
    </w:p>
    <w:p>
      <w:pPr>
        <w:ind w:firstLine="480"/>
        <w:spacing w:line="355" w:lineRule="auto"/>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bookmarkEnd w:id="15"/>
      <w:r/>
      <w:bookmarkEnd w:id="16"/>
      <w:r/>
      <w:bookmarkEnd w:id="17"/>
      <w:r/>
      <w:bookmarkEnd w:id="18"/>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eastAsia="zh-CN"/>
        </w:rPr>
        <w:t xml:space="preserve">2025年11月26日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点30分</w:t>
      </w:r>
      <w:r>
        <w:rPr>
          <w:rFonts w:hint="eastAsia" w:ascii="宋体" w:hAnsi="宋体" w:eastAsia="宋体" w:cs="宋体"/>
          <w:color w:val="auto"/>
          <w:sz w:val="24"/>
          <w:szCs w:val="24"/>
          <w:highlight w:val="none"/>
        </w:rPr>
        <w:t xml:space="preserve">（北京时间）</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"http://jszfcg.jsczt.cn/）。响应文件网上递交，不需要现场参加采购活动。" </w:instrText>
      </w:r>
      <w:r>
        <w:rPr>
          <w:rFonts w:hint="eastAsia" w:ascii="宋体" w:hAnsi="宋体" w:eastAsia="宋体" w:cs="宋体"/>
          <w:color w:val="auto"/>
          <w:sz w:val="24"/>
          <w:szCs w:val="22"/>
          <w:highlight w:val="none"/>
        </w:rPr>
        <w:fldChar w:fldCharType="separate"/>
      </w:r>
      <w:r>
        <w:rPr>
          <w:rStyle w:val="919"/>
          <w:rFonts w:hint="eastAsia" w:ascii="宋体" w:hAnsi="宋体" w:eastAsia="宋体" w:cs="宋体"/>
          <w:color w:val="auto"/>
          <w:sz w:val="24"/>
          <w:szCs w:val="22"/>
          <w:highlight w:val="none"/>
        </w:rPr>
        <w:t xml:space="preserve">http://jszfcg.jsczt.cn/）。响应文件网上递交，不需要现场参加采购活动。</w:t>
      </w:r>
      <w:r>
        <w:rPr>
          <w:rFonts w:hint="eastAsia" w:ascii="宋体" w:hAnsi="宋体" w:eastAsia="宋体" w:cs="宋体"/>
          <w:color w:val="auto"/>
          <w:sz w:val="24"/>
          <w:szCs w:val="22"/>
          <w:highlight w:val="none"/>
        </w:rPr>
        <w:fldChar w:fldCharType="end"/>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2"/>
          <w:highlight w:val="none"/>
        </w:rPr>
        <w:t xml:space="preserve">供应商应充分考虑到网络环境、网络带宽等风险因素，如因供应商自身原因造成的电子响应文件上传不成功由供应商自行承担全部责任。</w:t>
      </w:r>
      <w:r/>
    </w:p>
    <w:p>
      <w:pPr>
        <w:spacing w:line="355" w:lineRule="auto"/>
        <w:widowControl/>
        <w:rPr>
          <w:rFonts w:ascii="宋体" w:hAnsi="宋体" w:eastAsia="宋体" w:cs="宋体"/>
          <w:b/>
          <w:color w:val="auto"/>
          <w:sz w:val="24"/>
          <w:szCs w:val="24"/>
          <w:highlight w:val="none"/>
        </w:rPr>
      </w:pPr>
      <w:r/>
      <w:bookmarkStart w:id="19" w:name="_Toc28359016"/>
      <w:r/>
      <w:bookmarkStart w:id="20" w:name="_Toc35393802"/>
      <w:r/>
      <w:bookmarkStart w:id="21" w:name="_Toc35393633"/>
      <w:r/>
      <w:bookmarkStart w:id="22" w:name="_Toc28359093"/>
      <w:r>
        <w:rPr>
          <w:rFonts w:hint="eastAsia" w:ascii="宋体" w:hAnsi="宋体" w:eastAsia="宋体" w:cs="宋体"/>
          <w:b/>
          <w:color w:val="auto"/>
          <w:sz w:val="24"/>
          <w:szCs w:val="24"/>
          <w:highlight w:val="none"/>
        </w:rPr>
        <w:t xml:space="preserve">五、开启</w:t>
      </w:r>
      <w:bookmarkEnd w:id="19"/>
      <w:r/>
      <w:bookmarkEnd w:id="20"/>
      <w:r/>
      <w:bookmarkEnd w:id="21"/>
      <w:r/>
      <w:bookmarkEnd w:id="22"/>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2025年11月26日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点30分</w:t>
      </w:r>
      <w:r>
        <w:rPr>
          <w:rFonts w:hint="eastAsia" w:ascii="宋体" w:hAnsi="宋体" w:eastAsia="宋体" w:cs="宋体"/>
          <w:color w:val="auto"/>
          <w:sz w:val="24"/>
          <w:szCs w:val="24"/>
          <w:highlight w:val="none"/>
        </w:rPr>
        <w:t xml:space="preserve">（北京时间）</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 </w:instrText>
      </w:r>
      <w:r>
        <w:rPr>
          <w:rFonts w:hint="eastAsia" w:ascii="宋体" w:hAnsi="宋体" w:eastAsia="宋体" w:cs="宋体"/>
          <w:color w:val="auto"/>
          <w:sz w:val="24"/>
          <w:szCs w:val="22"/>
          <w:highlight w:val="none"/>
        </w:rPr>
        <w:fldChar w:fldCharType="separate"/>
      </w:r>
      <w:r>
        <w:rPr>
          <w:rStyle w:val="919"/>
          <w:rFonts w:hint="eastAsia" w:ascii="宋体" w:hAnsi="宋体" w:eastAsia="宋体" w:cs="宋体"/>
          <w:color w:val="auto"/>
          <w:sz w:val="24"/>
          <w:szCs w:val="22"/>
          <w:highlight w:val="none"/>
        </w:rPr>
        <w:t xml:space="preserve">http://jszfcg.jsczt.cn/）</w:t>
      </w:r>
      <w:r>
        <w:rPr>
          <w:rFonts w:hint="eastAsia" w:ascii="宋体" w:hAnsi="宋体" w:eastAsia="宋体" w:cs="宋体"/>
          <w:color w:val="auto"/>
          <w:sz w:val="24"/>
          <w:szCs w:val="22"/>
          <w:highlight w:val="none"/>
        </w:rPr>
        <w:fldChar w:fldCharType="end"/>
      </w:r>
      <w:r/>
    </w:p>
    <w:p>
      <w:pPr>
        <w:ind w:firstLine="480"/>
        <w:spacing w:line="355" w:lineRule="auto"/>
        <w:widowControl/>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2"/>
          <w:highlight w:val="none"/>
        </w:rPr>
        <w:t xml:space="preserve">本项目为不见面谈判项目，开启阶段供应商在【供应商解密】环节必须使用CA证书解密电子响应文件，如在系统规定的解密时间内未能完成解密的视为放弃参与本项目。</w:t>
      </w:r>
      <w:r/>
    </w:p>
    <w:p>
      <w:pPr>
        <w:ind w:firstLine="482"/>
        <w:spacing w:line="355"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2"/>
          <w:highlight w:val="none"/>
        </w:rPr>
        <w:t xml:space="preserve">请供应商确保电脑、系统及其他设备（视频输入输出设备等）无误，且开启直至项目结束始终保持系统在线状态。</w:t>
      </w:r>
      <w:r/>
    </w:p>
    <w:p>
      <w:pPr>
        <w:spacing w:line="355" w:lineRule="auto"/>
        <w:widowControl/>
        <w:rPr>
          <w:rFonts w:ascii="宋体" w:hAnsi="宋体" w:eastAsia="宋体" w:cs="宋体"/>
          <w:b/>
          <w:color w:val="auto"/>
          <w:sz w:val="24"/>
          <w:szCs w:val="24"/>
          <w:highlight w:val="none"/>
        </w:rPr>
      </w:pPr>
      <w:r/>
      <w:bookmarkStart w:id="23" w:name="_Toc35393634"/>
      <w:r/>
      <w:bookmarkStart w:id="24" w:name="_Toc28359017"/>
      <w:r/>
      <w:bookmarkStart w:id="25" w:name="_Toc28359094"/>
      <w:r/>
      <w:bookmarkStart w:id="26" w:name="_Toc35393803"/>
      <w:r>
        <w:rPr>
          <w:rFonts w:hint="eastAsia" w:ascii="宋体" w:hAnsi="宋体" w:eastAsia="宋体" w:cs="宋体"/>
          <w:b/>
          <w:color w:val="auto"/>
          <w:sz w:val="24"/>
          <w:szCs w:val="24"/>
          <w:highlight w:val="none"/>
        </w:rPr>
        <w:t xml:space="preserve">六、公告期限</w:t>
      </w:r>
      <w:bookmarkEnd w:id="23"/>
      <w:r/>
      <w:bookmarkEnd w:id="24"/>
      <w:r/>
      <w:bookmarkEnd w:id="25"/>
      <w:r/>
      <w:bookmarkEnd w:id="26"/>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spacing w:line="355" w:lineRule="auto"/>
        <w:widowControl/>
        <w:rPr>
          <w:rFonts w:ascii="宋体" w:hAnsi="宋体" w:eastAsia="宋体" w:cs="宋体"/>
          <w:b/>
          <w:color w:val="auto"/>
          <w:sz w:val="24"/>
          <w:szCs w:val="24"/>
          <w:highlight w:val="none"/>
        </w:rPr>
      </w:pPr>
      <w:r/>
      <w:bookmarkStart w:id="27" w:name="_Toc35393635"/>
      <w:r/>
      <w:bookmarkStart w:id="28" w:name="_Toc35393804"/>
      <w:r>
        <w:rPr>
          <w:rFonts w:hint="eastAsia" w:ascii="宋体" w:hAnsi="宋体" w:eastAsia="宋体" w:cs="宋体"/>
          <w:b/>
          <w:color w:val="auto"/>
          <w:sz w:val="24"/>
          <w:szCs w:val="24"/>
          <w:highlight w:val="none"/>
        </w:rPr>
        <w:t xml:space="preserve">七、其他补充事宜</w:t>
      </w:r>
      <w:bookmarkEnd w:id="27"/>
      <w:r/>
      <w:bookmarkEnd w:id="28"/>
      <w:r/>
      <w:r/>
    </w:p>
    <w:p>
      <w:pPr>
        <w:ind w:firstLine="480"/>
        <w:spacing w:line="355" w:lineRule="auto"/>
        <w:widowControl/>
        <w:rPr>
          <w:rFonts w:hint="eastAsia" w:ascii="宋体" w:hAnsi="宋体" w:eastAsia="宋体" w:cs="宋体"/>
          <w:color w:val="auto"/>
          <w:sz w:val="24"/>
          <w:highlight w:val="none"/>
          <w:lang w:val="en-US" w:eastAsia="zh-CN"/>
        </w:rPr>
      </w:pPr>
      <w:r/>
      <w:bookmarkStart w:id="29" w:name="_Toc35393636"/>
      <w:r/>
      <w:bookmarkStart w:id="30" w:name="_Toc28359018"/>
      <w:r/>
      <w:bookmarkStart w:id="31" w:name="_Toc28359095"/>
      <w:r/>
      <w:bookmarkStart w:id="32" w:name="_Toc35393805"/>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"https://czju.suzhou.gov.cn/zfcg/html/project/ae528ab03df04aa5976dfedac325d8cb.shtml"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本次采购的有关信息将在江苏政府采购网、苏州市政府采购网</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"http://www.szweikang.xn--com-6y3ba7cbgc4097e4kax19cqoerohxod7w1bva254sga6035lg4sc/"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上发布，敬请留意。</w:t>
      </w:r>
      <w:r>
        <w:rPr>
          <w:rFonts w:hint="eastAsia" w:ascii="宋体" w:hAnsi="宋体" w:eastAsia="宋体" w:cs="宋体"/>
          <w:color w:val="auto"/>
          <w:sz w:val="24"/>
          <w:szCs w:val="22"/>
          <w:highlight w:val="none"/>
        </w:rPr>
        <w:fldChar w:fldCharType="end"/>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本项目获取</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文件截止日期之后仍可以下载</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文件，但截止日期之后下载的</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文件，视为非有效方式且不作为供应商权益受到损害的证明材料和依据</w:t>
      </w:r>
      <w:r>
        <w:rPr>
          <w:rFonts w:hint="eastAsia" w:ascii="宋体" w:hAnsi="宋体" w:eastAsia="宋体" w:cs="宋体"/>
          <w:color w:val="auto"/>
          <w:sz w:val="24"/>
          <w:szCs w:val="22"/>
          <w:highlight w:val="none"/>
        </w:rPr>
        <w:t xml:space="preserve">。</w:t>
      </w:r>
      <w:r/>
    </w:p>
    <w:p>
      <w:pPr>
        <w:ind w:firstLine="480"/>
        <w:spacing w:line="355"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4"/>
          <w:szCs w:val="24"/>
          <w:highlight w:val="none"/>
          <w:lang w:eastAsia="zh-CN"/>
        </w:rPr>
        <w:t xml:space="preserve">。</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.根据苏州市财政局《关于深入开展苏州市政府采购合同信用融资业务的通知》相关要求，本项目支持政府采购合同信用融资。</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9"/>
      <w:r/>
      <w:bookmarkEnd w:id="30"/>
      <w:r/>
      <w:bookmarkEnd w:id="31"/>
      <w:r/>
      <w:bookmarkEnd w:id="32"/>
      <w:r/>
      <w:r/>
    </w:p>
    <w:p>
      <w:pPr>
        <w:ind w:firstLine="480"/>
        <w:spacing w:line="355" w:lineRule="auto"/>
        <w:tabs>
          <w:tab w:val="left" w:pos="3600" w:leader="none"/>
        </w:tabs>
        <w:rPr>
          <w:rFonts w:hint="eastAsia" w:ascii="宋体" w:hAnsi="宋体" w:eastAsia="宋体" w:cs="宋体"/>
          <w:color w:val="auto"/>
          <w:sz w:val="24"/>
          <w:szCs w:val="24"/>
          <w:highlight w:val="none"/>
        </w:rPr>
      </w:pPr>
      <w:r/>
      <w:bookmarkStart w:id="33" w:name="_Toc28358998"/>
      <w:r/>
      <w:bookmarkStart w:id="34" w:name="_Toc28359075"/>
      <w:r/>
      <w:bookmarkStart w:id="35" w:name="_Toc35393617"/>
      <w:r/>
      <w:bookmarkStart w:id="36" w:name="_Toc35393786"/>
      <w:r>
        <w:rPr>
          <w:rFonts w:hint="eastAsia" w:ascii="宋体" w:hAnsi="宋体" w:eastAsia="宋体" w:cs="宋体"/>
          <w:color w:val="auto"/>
          <w:sz w:val="24"/>
          <w:szCs w:val="24"/>
          <w:highlight w:val="none"/>
        </w:rPr>
        <w:t xml:space="preserve">1.采购单位</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昆山市妇幼保健院</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方芳</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0512-57027234</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昆山市开发区青阳中路5号</w:t>
      </w:r>
      <w:r/>
    </w:p>
    <w:p>
      <w:pPr>
        <w:ind w:firstLine="480"/>
        <w:spacing w:line="355" w:lineRule="auto"/>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采购代理机构信息</w:t>
      </w:r>
      <w:r/>
    </w:p>
    <w:p>
      <w:pPr>
        <w:ind w:firstLine="480"/>
        <w:spacing w:line="355" w:lineRule="auto"/>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名称：苏州乐慧招投标咨询有限公司</w:t>
      </w:r>
      <w:r/>
    </w:p>
    <w:p>
      <w:pPr>
        <w:ind w:firstLine="480"/>
        <w:spacing w:line="355" w:lineRule="auto"/>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地址：苏州市相城区元和街道华元路766号都会商业中心1幢2706室</w:t>
      </w:r>
      <w:r/>
    </w:p>
    <w:p>
      <w:pPr>
        <w:ind w:firstLine="480"/>
        <w:spacing w:line="355" w:lineRule="auto"/>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联系方式：0512-69223600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陈浩、王佳静</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电话：0512-69223600</w:t>
      </w:r>
      <w:bookmarkEnd w:id="33"/>
      <w:r/>
      <w:bookmarkEnd w:id="34"/>
      <w:r/>
      <w:bookmarkEnd w:id="35"/>
      <w:r/>
      <w:bookmarkEnd w:id="36"/>
      <w:r/>
      <w:r/>
    </w:p>
    <w:p>
      <w:pPr>
        <w:spacing w:before="120" w:line="200" w:lineRule="exact"/>
        <w:rPr>
          <w:rFonts w:ascii="宋体" w:hAnsi="宋体" w:eastAsia="宋体"/>
          <w:color w:val="auto"/>
          <w:sz w:val="52"/>
          <w:highlight w:val="none"/>
        </w:rPr>
      </w:pPr>
      <w:r>
        <w:rPr>
          <w:rFonts w:ascii="宋体" w:hAnsi="宋体" w:eastAsia="宋体"/>
          <w:color w:val="auto"/>
          <w:sz w:val="24"/>
          <w:highlight w:val="none"/>
        </w:rPr>
        <w:br w:type="page" w:clear="all"/>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bookmarkStart w:id="37" w:name="_Toc17161"/>
      <w:r>
        <w:rPr>
          <w:rFonts w:hint="eastAsia" w:ascii="宋体" w:hAnsi="宋体" w:eastAsia="宋体" w:cs="Times New Roman"/>
          <w:b/>
          <w:color w:val="auto"/>
          <w:sz w:val="52"/>
          <w:highlight w:val="none"/>
          <w:lang w:val="en-US" w:eastAsia="zh-CN" w:bidi="ar-SA"/>
        </w:rPr>
        <w:t xml:space="preserve">第二章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谈判供应商须知</w:t>
      </w:r>
      <w:bookmarkEnd w:id="6"/>
      <w:r/>
      <w:bookmarkEnd w:id="37"/>
      <w:r/>
      <w:r/>
    </w:p>
    <w:p>
      <w:pPr>
        <w:spacing w:line="348" w:lineRule="auto"/>
        <w:rPr>
          <w:rFonts w:ascii="宋体" w:hAnsi="宋体" w:eastAsia="宋体"/>
          <w:b/>
          <w:color w:val="auto"/>
          <w:sz w:val="24"/>
          <w:szCs w:val="24"/>
          <w:highlight w:val="none"/>
        </w:rPr>
      </w:pPr>
      <w:r>
        <w:rPr>
          <w:rFonts w:ascii="宋体" w:hAnsi="宋体" w:eastAsia="宋体"/>
          <w:color w:val="auto"/>
          <w:sz w:val="24"/>
          <w:highlight w:val="none"/>
        </w:rPr>
        <w:br w:type="page" w:clear="all"/>
      </w:r>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说明</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1、本次谈判采购文件仅适用于苏州乐慧招投标咨询有限公司组织的采购活动。</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、本次采购活动及因本次采购产生的合同受中国法律制约和保护。</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、本次谈判采购文件的解释权属于苏州乐慧招投标咨询有限公司。</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词语释义</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zh-CN"/>
        </w:rPr>
        <w:t xml:space="preserve">、招标代理机构：具体组织实施招标活动的法人。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rPr>
        <w:t xml:space="preserve">、投标人：经认定有资格响应招标，参加投标竞争的法人或其他组织和自然人。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zh-CN"/>
        </w:rPr>
        <w:t xml:space="preserve">、响应：投标人根据招标代理机构或招标代理机构发布的招标文件，编制投标文件并按规定投标的行为。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zh-CN"/>
        </w:rPr>
        <w:t xml:space="preserve">、合同：采供双方根据招标文件和中标的投标文件及中标通知书规定的内容签署的以书面形式所达成的协议，包括所有的附件、附录和构成协议的所有文件。</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zh-CN"/>
        </w:rPr>
        <w:t xml:space="preserve">、甲方（采购方）：合同中明确规定的实际购买货物和服务的法人或其他组织和自然人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采购人</w:t>
      </w: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lang w:val="zh-CN"/>
        </w:rPr>
        <w:t xml:space="preserve">、乙方（供应商）：合同中规定的向采购方提供货物和服务的法人或其他组织和自然人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中标人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right="62" w:firstLine="428"/>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lang w:val="zh-CN"/>
        </w:rPr>
        <w:t xml:space="preserve">、货物：系指乙方按招标招标文件规定，应向甲方提供的一切设备、备品、备件、工具、手册及其它有关技术资料和材料。</w:t>
      </w:r>
      <w:r/>
    </w:p>
    <w:p>
      <w:pPr>
        <w:ind w:firstLine="425"/>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9</w:t>
      </w:r>
      <w:r>
        <w:rPr>
          <w:rFonts w:hint="eastAsia" w:ascii="宋体" w:hAnsi="宋体" w:eastAsia="宋体" w:cs="宋体"/>
          <w:color w:val="auto"/>
          <w:sz w:val="24"/>
          <w:szCs w:val="24"/>
          <w:highlight w:val="none"/>
          <w:lang w:val="zh-CN"/>
        </w:rPr>
        <w:t xml:space="preserve">、知识产权：指专利权、商标权、著作权等无形财产专有权的统称。</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10</w:t>
      </w:r>
      <w:r>
        <w:rPr>
          <w:rFonts w:hint="eastAsia" w:ascii="宋体" w:hAnsi="宋体" w:eastAsia="宋体" w:cs="宋体"/>
          <w:color w:val="auto"/>
          <w:sz w:val="24"/>
          <w:szCs w:val="24"/>
          <w:highlight w:val="none"/>
          <w:lang w:val="zh-CN"/>
        </w:rPr>
        <w:t xml:space="preserve">、天：日历日。</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11</w:t>
      </w:r>
      <w:r>
        <w:rPr>
          <w:rFonts w:hint="eastAsia" w:ascii="宋体" w:hAnsi="宋体" w:eastAsia="宋体" w:cs="宋体"/>
          <w:color w:val="auto"/>
          <w:sz w:val="24"/>
          <w:szCs w:val="24"/>
          <w:highlight w:val="none"/>
          <w:lang w:val="zh-CN"/>
        </w:rPr>
        <w:t xml:space="preserve">、交货地点：合同中明确约定的乙方提交的货物和服务最终到达地点。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12</w:t>
      </w:r>
      <w:r>
        <w:rPr>
          <w:rFonts w:hint="eastAsia" w:ascii="宋体" w:hAnsi="宋体" w:eastAsia="宋体" w:cs="宋体"/>
          <w:color w:val="auto"/>
          <w:sz w:val="24"/>
          <w:szCs w:val="24"/>
          <w:highlight w:val="none"/>
          <w:lang w:val="zh-CN" w:eastAsia="zh-CN" w:bidi="ar-SA"/>
        </w:rPr>
        <w:t xml:space="preserve">、合同价款：根据合同规定，乙方在正确地履行合同义务后甲方应支付乙方的</w:t>
      </w:r>
      <w:r>
        <w:rPr>
          <w:rFonts w:hint="eastAsia" w:ascii="宋体" w:hAnsi="宋体" w:eastAsia="宋体" w:cs="Times New Roman"/>
          <w:color w:val="auto"/>
          <w:sz w:val="24"/>
          <w:szCs w:val="24"/>
          <w:highlight w:val="none"/>
          <w:lang w:val="en-US" w:eastAsia="zh-CN" w:bidi="ar-SA"/>
        </w:rPr>
        <w:t xml:space="preserve">价款。</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w:t>
      </w:r>
      <w:r>
        <w:rPr>
          <w:rFonts w:hint="eastAsia" w:ascii="宋体" w:hAnsi="宋体" w:eastAsia="宋体" w:cs="Times New Roman"/>
          <w:color w:val="auto"/>
          <w:sz w:val="24"/>
          <w:szCs w:val="24"/>
          <w:highlight w:val="none"/>
          <w:lang w:val="en-US" w:eastAsia="zh-CN" w:bidi="ar-SA"/>
        </w:rPr>
        <w:t xml:space="preserve">、产地：货物开采、生长、生产、最终制造、加工或提供服务的来源地。</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w:t>
      </w:r>
      <w:r>
        <w:rPr>
          <w:rFonts w:hint="eastAsia" w:ascii="宋体" w:hAnsi="宋体" w:eastAsia="宋体" w:cs="Times New Roman"/>
          <w:color w:val="auto"/>
          <w:sz w:val="24"/>
          <w:szCs w:val="24"/>
          <w:highlight w:val="none"/>
          <w:lang w:val="en-US" w:eastAsia="zh-CN" w:bidi="ar-SA"/>
        </w:rPr>
        <w:t xml:space="preserve">、不可抗力：不能预见、不能避免并且不能克服的客观情况。</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15、进口产品：通过中国海关报关验放进入中国境内且产自关境外的产品。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16、书面形式：指书面文字、合同书、信件和传真等可以有形地表现所载内容的形式。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17、实质响应：满足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18、进口产品：通过中国海关报关验放进入中国境内且产自关境外的产品。</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19、</w:t>
      </w:r>
      <w:r>
        <w:rPr>
          <w:rFonts w:ascii="宋体" w:hAnsi="宋体" w:eastAsia="宋体"/>
          <w:color w:val="auto"/>
          <w:sz w:val="24"/>
          <w:szCs w:val="24"/>
          <w:highlight w:val="none"/>
        </w:rPr>
        <w:t xml:space="preserve">书面形式：指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谈判供应商代表</w:t>
      </w:r>
      <w:r/>
    </w:p>
    <w:p>
      <w:pPr>
        <w:ind w:firstLine="501"/>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ascii="宋体" w:hAnsi="宋体" w:eastAsia="宋体"/>
          <w:color w:val="auto"/>
          <w:sz w:val="24"/>
          <w:szCs w:val="24"/>
          <w:highlight w:val="none"/>
        </w:rPr>
        <w:t xml:space="preserve">指全权代表</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参加</w:t>
      </w:r>
      <w:r>
        <w:rPr>
          <w:rFonts w:hint="eastAsia" w:ascii="宋体" w:hAnsi="宋体" w:eastAsia="宋体"/>
          <w:color w:val="auto"/>
          <w:sz w:val="24"/>
          <w:szCs w:val="24"/>
          <w:highlight w:val="none"/>
        </w:rPr>
        <w:t xml:space="preserve">谈判采购</w:t>
      </w:r>
      <w:r>
        <w:rPr>
          <w:rFonts w:ascii="宋体" w:hAnsi="宋体" w:eastAsia="宋体"/>
          <w:color w:val="auto"/>
          <w:sz w:val="24"/>
          <w:szCs w:val="24"/>
          <w:highlight w:val="none"/>
        </w:rPr>
        <w:t xml:space="preserve">活动并签署</w:t>
      </w:r>
      <w:r>
        <w:rPr>
          <w:rFonts w:hint="eastAsia" w:ascii="宋体" w:hAnsi="宋体" w:eastAsia="宋体"/>
          <w:color w:val="auto"/>
          <w:sz w:val="24"/>
          <w:szCs w:val="24"/>
          <w:highlight w:val="none"/>
        </w:rPr>
        <w:t xml:space="preserve">谈判响应</w:t>
      </w:r>
      <w:r>
        <w:rPr>
          <w:rFonts w:ascii="宋体" w:hAnsi="宋体" w:eastAsia="宋体"/>
          <w:color w:val="auto"/>
          <w:sz w:val="24"/>
          <w:szCs w:val="24"/>
          <w:highlight w:val="none"/>
        </w:rPr>
        <w:t xml:space="preserve">文件的人，如果</w:t>
      </w:r>
      <w:r>
        <w:rPr>
          <w:rFonts w:hint="eastAsia" w:ascii="宋体" w:hAnsi="宋体" w:eastAsia="宋体"/>
          <w:color w:val="auto"/>
          <w:sz w:val="24"/>
          <w:szCs w:val="24"/>
          <w:highlight w:val="none"/>
        </w:rPr>
        <w:t xml:space="preserve">谈判供应商</w:t>
      </w:r>
      <w:r>
        <w:rPr>
          <w:rFonts w:ascii="宋体" w:hAnsi="宋体" w:eastAsia="宋体"/>
          <w:color w:val="auto"/>
          <w:sz w:val="24"/>
          <w:szCs w:val="24"/>
          <w:highlight w:val="none"/>
        </w:rPr>
        <w:t xml:space="preserve">代表不是法人代表，须持有《法</w:t>
      </w:r>
      <w:r>
        <w:rPr>
          <w:rFonts w:hint="eastAsia" w:ascii="宋体" w:hAnsi="宋体" w:eastAsia="宋体"/>
          <w:color w:val="auto"/>
          <w:sz w:val="24"/>
          <w:szCs w:val="24"/>
          <w:highlight w:val="none"/>
        </w:rPr>
        <w:t xml:space="preserve">定</w:t>
      </w:r>
      <w:r>
        <w:rPr>
          <w:rFonts w:ascii="宋体" w:hAnsi="宋体" w:eastAsia="宋体"/>
          <w:color w:val="auto"/>
          <w:sz w:val="24"/>
          <w:szCs w:val="24"/>
          <w:highlight w:val="none"/>
        </w:rPr>
        <w:t xml:space="preserve">代表人授权</w:t>
      </w:r>
      <w:r>
        <w:rPr>
          <w:rFonts w:hint="eastAsia" w:ascii="宋体" w:hAnsi="宋体" w:eastAsia="宋体"/>
          <w:color w:val="auto"/>
          <w:sz w:val="24"/>
          <w:szCs w:val="24"/>
          <w:highlight w:val="none"/>
        </w:rPr>
        <w:t xml:space="preserve">委托</w:t>
      </w:r>
      <w:r>
        <w:rPr>
          <w:rFonts w:ascii="宋体" w:hAnsi="宋体" w:eastAsia="宋体"/>
          <w:color w:val="auto"/>
          <w:sz w:val="24"/>
          <w:szCs w:val="24"/>
          <w:highlight w:val="none"/>
        </w:rPr>
        <w:t xml:space="preserve">书》（</w:t>
      </w:r>
      <w:r>
        <w:rPr>
          <w:rFonts w:hint="eastAsia" w:ascii="宋体" w:hAnsi="宋体" w:eastAsia="宋体"/>
          <w:color w:val="auto"/>
          <w:sz w:val="24"/>
          <w:szCs w:val="24"/>
          <w:highlight w:val="none"/>
        </w:rPr>
        <w:t xml:space="preserve">格式见第三章）。</w:t>
      </w:r>
      <w:r>
        <w:rPr>
          <w:rFonts w:ascii="宋体" w:hAnsi="宋体" w:eastAsia="宋体"/>
          <w:color w:val="auto"/>
          <w:sz w:val="24"/>
          <w:szCs w:val="24"/>
          <w:highlight w:val="none"/>
        </w:rPr>
        <w:t xml:space="preserve"> </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谈判费用</w:t>
      </w:r>
      <w:r>
        <w:rPr>
          <w:rFonts w:ascii="宋体" w:hAnsi="宋体" w:eastAsia="宋体"/>
          <w:b/>
          <w:color w:val="auto"/>
          <w:sz w:val="24"/>
          <w:szCs w:val="24"/>
          <w:highlight w:val="none"/>
        </w:rPr>
        <w:t xml:space="preserve"> </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6.1无论谈判过程中的做法和结果如何，谈判供应商自行承担所有与参加谈判有关的全部费用。</w:t>
      </w:r>
      <w:r/>
    </w:p>
    <w:p>
      <w:pPr>
        <w:spacing w:line="348"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联合谈判</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本项目不接受多个供应商组成联合体参与谈判。</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谈判采购文件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谈判供应商获取</w:t>
      </w:r>
      <w:r>
        <w:rPr>
          <w:rFonts w:ascii="宋体" w:hAnsi="宋体" w:eastAsia="宋体"/>
          <w:color w:val="auto"/>
          <w:sz w:val="24"/>
          <w:szCs w:val="24"/>
          <w:highlight w:val="none"/>
        </w:rPr>
        <w:t xml:space="preserve">谈判采购文件后，应仔细检查谈判采购文件的所有内容。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有可能被拒绝。</w:t>
      </w:r>
      <w:r/>
    </w:p>
    <w:p>
      <w:pPr>
        <w:numPr>
          <w:ilvl w:val="0"/>
          <w:numId w:val="1"/>
        </w:num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谈判采购文件的澄清或修改</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1、谈判采购单位无论出于自己的考虑，还是出于对谈判响应单位提问的澄清，均可对谈判采购文件用更正公告的方式进行澄清或者修改，并通过苏州市政府采购网对外进行发布。</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对于补充通知（包括更正公告），供应商通过“苏州市政府采购网”的“采购公告”自行查看所报项目的补充通知（包括更正公告）。补充通知（包括更正公告）将作为谈判采购文件的组成部分，对所有谈判响应单位有约束力。</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3、为使谈判响应单位有足够的时间按谈判采购文件的修改要求考虑修改谈判响应文件，或出于其他原因，谈判采购单位有权推迟投标截止日期和开标日期，并将此变更通知以更正公告的形式对外发布。</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4、谈判采购文件的澄清、修改、补充等内容均以苏州政府采购网上发布的内容为准。</w:t>
      </w:r>
      <w:r/>
    </w:p>
    <w:p>
      <w:pPr>
        <w:ind w:left="459" w:hanging="459"/>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 提示与要求</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1、谈判供应商</w:t>
      </w:r>
      <w:r>
        <w:rPr>
          <w:rFonts w:ascii="宋体" w:hAnsi="宋体" w:eastAsia="宋体"/>
          <w:color w:val="auto"/>
          <w:sz w:val="24"/>
          <w:szCs w:val="24"/>
          <w:highlight w:val="none"/>
        </w:rPr>
        <w:t xml:space="preserve">应仔细阅读谈判采购文件的所有内容，按谈判采购文件的要求提供谈判响应文件，并保证所提供的全部资料的真实性，以使其对谈判采购文件作出实质性响应，否则，其</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2、无论是否递交谈判响应文件，谈判供应商都应将谈判采购文件及以后的所有通知、文件等视为保密文件。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九、谈判响应文件计量单位和使用文字</w:t>
      </w:r>
      <w:r/>
    </w:p>
    <w:p>
      <w:pPr>
        <w:ind w:firstLine="501"/>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1、谈判响应文件中所使用的计量单位，除谈判采购文件中有特殊要求外，均</w:t>
      </w:r>
      <w:r>
        <w:rPr>
          <w:rFonts w:ascii="宋体" w:hAnsi="宋体" w:eastAsia="宋体" w:cs="Times New Roman"/>
          <w:color w:val="auto"/>
          <w:sz w:val="24"/>
          <w:szCs w:val="24"/>
          <w:highlight w:val="none"/>
          <w:lang w:val="en-US" w:eastAsia="zh-CN" w:bidi="ar-SA"/>
        </w:rPr>
        <w:t xml:space="preserve">应使用中华人民共和国法定计量单位</w:t>
      </w:r>
      <w:r>
        <w:rPr>
          <w:rFonts w:hint="eastAsia" w:ascii="宋体" w:hAnsi="宋体" w:eastAsia="宋体" w:cs="Times New Roman"/>
          <w:color w:val="auto"/>
          <w:sz w:val="24"/>
          <w:szCs w:val="24"/>
          <w:highlight w:val="none"/>
          <w:lang w:val="en-US" w:eastAsia="zh-CN" w:bidi="ar-SA"/>
        </w:rPr>
        <w:t xml:space="preserve">。</w:t>
      </w:r>
      <w:r/>
    </w:p>
    <w:p>
      <w:pPr>
        <w:ind w:firstLine="50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文件应使用中文编制，谈判响应文件中必须使用其他文字的，必须附有中文译本。对于未附有中文译本和中文译本不准确的谈判响应文件可能引起的对谈判供应商不利的后果，采购代理机构概不负责。</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 谈判响应文件的组成</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1、封面</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2、谈判报价表</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3、资格审查响应文件：</w:t>
      </w:r>
      <w:r/>
    </w:p>
    <w:p>
      <w:pPr>
        <w:ind w:firstLine="50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3.1合格供应商的基本条件</w:t>
      </w:r>
      <w:r/>
    </w:p>
    <w:p>
      <w:pPr>
        <w:ind w:firstLine="50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3.1.1具有独立承担民事责任的能力（提供法人或者其他组织的营业执照，自然人的身份证明）；</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.2具有良好的商业信誉和健全的财务会计制度</w:t>
      </w:r>
      <w:r>
        <w:rPr>
          <w:rFonts w:hint="eastAsia" w:ascii="宋体" w:hAnsi="宋体" w:eastAsia="宋体" w:cs="宋体"/>
          <w:color w:val="auto"/>
          <w:sz w:val="24"/>
          <w:szCs w:val="22"/>
          <w:highlight w:val="none"/>
        </w:rPr>
        <w:t xml:space="preserve">（法人应提供最近一期经会计师事务所审计的财务报告，其他组织、自然人及成立未满一年的法人应提供银行出具的资信证明）</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auto"/>
          <w:sz w:val="24"/>
          <w:szCs w:val="22"/>
          <w:highlight w:val="none"/>
        </w:rPr>
        <w:t xml:space="preserve">或</w:t>
      </w:r>
      <w:r>
        <w:rPr>
          <w:rFonts w:ascii="宋体" w:hAnsi="宋体" w:eastAsia="宋体" w:cs="宋体"/>
          <w:color w:val="auto"/>
          <w:sz w:val="24"/>
          <w:szCs w:val="22"/>
          <w:highlight w:val="none"/>
        </w:rPr>
        <w:t xml:space="preserve">证明材料）；</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.4有依法缴纳税收和社会保障资金的良好记录（</w:t>
      </w:r>
      <w:r>
        <w:rPr>
          <w:rFonts w:hint="eastAsia" w:ascii="宋体" w:hAnsi="宋体" w:eastAsia="宋体" w:cs="宋体"/>
          <w:color w:val="auto"/>
          <w:sz w:val="24"/>
          <w:szCs w:val="22"/>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.5参加政府采购活动前三年内，在经营活动中没有重大违法记录（提供参加本次政府采购活动前3年内在经营活动中没有重大违法记录的书面声明）（格式自拟）；</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法律、行政法规规定的其他条件</w:t>
      </w:r>
      <w:r>
        <w:rPr>
          <w:rFonts w:hint="eastAsia" w:ascii="宋体" w:hAnsi="宋体" w:eastAsia="宋体" w:cs="宋体"/>
          <w:color w:val="auto"/>
          <w:sz w:val="24"/>
          <w:szCs w:val="22"/>
          <w:highlight w:val="none"/>
          <w:lang w:eastAsia="zh-CN"/>
        </w:rPr>
        <w:t xml:space="preserve">；</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3.2医疗器械生产企业许可或医疗器械经营企业许可证</w:t>
      </w:r>
      <w:r>
        <w:rPr>
          <w:rFonts w:hint="eastAsia" w:ascii="宋体" w:hAnsi="宋体" w:eastAsia="宋体" w:cs="宋体"/>
          <w:color w:val="auto"/>
          <w:sz w:val="24"/>
          <w:szCs w:val="22"/>
          <w:highlight w:val="none"/>
          <w:lang w:eastAsia="zh-CN"/>
        </w:rPr>
        <w:t xml:space="preserve">；</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4、符合性审查响应文件</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4.1谈判报价分析表（格式见第三章）；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4.2谈判响应函（格式见第三章）；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.3关于资格文件的声明函（格式见第三章）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.4谈判响应单位基本情况表（格式见第三章）；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.5谈判响应单位法定代表人身份证扫描件；</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.6法定代表人授权委托书（如有授权，格式见第三章）；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4.7谈判响应单位授权代理人身份证扫描件（如有授权）；</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4.8</w:t>
      </w: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商务条款偏离表》（格式见第三章）；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4.9</w:t>
      </w:r>
      <w:r>
        <w:rPr>
          <w:rFonts w:hint="eastAsia" w:ascii="宋体" w:hAnsi="宋体" w:eastAsia="宋体" w:cs="宋体"/>
          <w:color w:val="auto"/>
          <w:sz w:val="24"/>
          <w:szCs w:val="22"/>
          <w:highlight w:val="none"/>
          <w:lang w:val="zh-CN" w:eastAsia="zh-CN"/>
        </w:rPr>
        <w:t xml:space="preserve">《售后服务承诺书》</w:t>
      </w:r>
      <w:r>
        <w:rPr>
          <w:rFonts w:hint="eastAsia" w:ascii="宋体" w:hAnsi="宋体" w:eastAsia="宋体" w:cs="宋体"/>
          <w:color w:val="auto"/>
          <w:sz w:val="24"/>
          <w:szCs w:val="22"/>
          <w:highlight w:val="none"/>
          <w:lang w:val="en-US" w:eastAsia="zh-CN"/>
        </w:rPr>
        <w:t xml:space="preserve">（格式见第三章）；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4.10</w:t>
      </w:r>
      <w:r>
        <w:rPr>
          <w:rFonts w:hint="eastAsia" w:ascii="宋体" w:hAnsi="宋体" w:eastAsia="宋体" w:cs="宋体"/>
          <w:color w:val="auto"/>
          <w:sz w:val="24"/>
          <w:szCs w:val="22"/>
          <w:highlight w:val="none"/>
          <w:lang w:val="zh-CN" w:eastAsia="zh-CN"/>
        </w:rPr>
        <w:t xml:space="preserve">《技术要求偏离表》</w:t>
      </w:r>
      <w:r>
        <w:rPr>
          <w:rFonts w:hint="eastAsia" w:ascii="宋体" w:hAnsi="宋体" w:eastAsia="宋体" w:cs="宋体"/>
          <w:color w:val="auto"/>
          <w:sz w:val="24"/>
          <w:szCs w:val="22"/>
          <w:highlight w:val="none"/>
          <w:lang w:val="en-US" w:eastAsia="zh-CN"/>
        </w:rPr>
        <w:t xml:space="preserve">（格式见第三章）；</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4.11提供响应产品的技术参数表或彩页（加盖公章）；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4.12响应货物和服务数量、品牌型号、技术要求、付款方式、交货期（格式见第三章）；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13</w:t>
      </w:r>
      <w:r>
        <w:rPr>
          <w:rFonts w:hint="eastAsia" w:ascii="宋体" w:hAnsi="宋体" w:eastAsia="宋体" w:cs="宋体"/>
          <w:color w:val="auto"/>
          <w:sz w:val="24"/>
          <w:szCs w:val="22"/>
          <w:highlight w:val="none"/>
        </w:rPr>
        <w:t xml:space="preserve">产品质量验收标准及质量承诺（格式见第三章）；</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4.14</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2"/>
          <w:highlight w:val="none"/>
        </w:rPr>
        <w:t xml:space="preserve">（格式见第三章）；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15</w:t>
      </w:r>
      <w:r>
        <w:rPr>
          <w:rFonts w:hint="eastAsia" w:ascii="宋体" w:hAnsi="宋体" w:eastAsia="宋体" w:cs="宋体"/>
          <w:color w:val="auto"/>
          <w:sz w:val="24"/>
          <w:szCs w:val="22"/>
          <w:highlight w:val="none"/>
        </w:rPr>
        <w:t xml:space="preserve">响应单位针对本项目培训计划（格式自拟）；</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16</w:t>
      </w:r>
      <w:r>
        <w:rPr>
          <w:rFonts w:hint="eastAsia" w:ascii="宋体" w:hAnsi="宋体" w:eastAsia="宋体" w:cs="宋体"/>
          <w:color w:val="auto"/>
          <w:sz w:val="24"/>
          <w:szCs w:val="22"/>
          <w:highlight w:val="none"/>
        </w:rPr>
        <w:t xml:space="preserve">谈判采购文件中要求的其他有关符合性审查证明</w:t>
      </w:r>
      <w:r>
        <w:rPr>
          <w:rFonts w:hint="eastAsia" w:ascii="宋体" w:hAnsi="宋体" w:eastAsia="宋体" w:cs="宋体"/>
          <w:color w:val="auto"/>
          <w:sz w:val="24"/>
          <w:szCs w:val="22"/>
          <w:highlight w:val="none"/>
          <w:lang w:val="en-US" w:eastAsia="zh-CN"/>
        </w:rPr>
        <w:t xml:space="preserve">文件</w:t>
      </w:r>
      <w:r>
        <w:rPr>
          <w:rFonts w:hint="eastAsia" w:ascii="宋体" w:hAnsi="宋体" w:eastAsia="宋体" w:cs="宋体"/>
          <w:color w:val="auto"/>
          <w:sz w:val="24"/>
          <w:szCs w:val="22"/>
          <w:highlight w:val="none"/>
          <w:lang w:eastAsia="zh-CN"/>
        </w:rPr>
        <w:t xml:space="preserve">。</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注：①以上3.为资格审查要求提供的材料，是作为对供应商资格审查的依据，响应供应商必须提供并加盖电子公章。否则，谈判响应文件将被认定为不符合资格审查要求。</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②以上4.为符合性审查须提供的资料，响应供应商必须提供并加盖电子公章。否则，谈判响应文件将被认定为未实质性响应。</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③制作电子响应文件时必须与投标文件制作软件目录一一对应，将相关资料上传至相应模块。</w:t>
      </w:r>
      <w:r/>
    </w:p>
    <w:p>
      <w:pPr>
        <w:ind w:firstLine="482"/>
        <w:spacing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s="宋体"/>
          <w:b/>
          <w:color w:val="auto"/>
          <w:sz w:val="24"/>
          <w:szCs w:val="24"/>
          <w:highlight w:val="none"/>
        </w:rPr>
        <w:t xml:space="preserve">④谈判响应文件编制要求：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w:t>
      </w:r>
      <w:r>
        <w:rPr>
          <w:rFonts w:hint="eastAsia" w:ascii="宋体" w:hAnsi="宋体" w:eastAsia="宋体"/>
          <w:color w:val="auto"/>
          <w:sz w:val="24"/>
          <w:szCs w:val="24"/>
          <w:highlight w:val="none"/>
        </w:rPr>
        <w:t xml:space="preserve">应文件上传不成功由供应商自行承担全部责任。</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⑤谈判过程中如有问题采购代理机构工作人员会及时通《投标供应商确认函》留存的手机号与供应商联系。请供应商确保该手机号谈判当日通讯畅通，否则导致的对供应商不利的后果由供应商自行承担。</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十一、报价（编制）要求的说明</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1、除非合同中另有规定，谈判响应单位对《谈判报价分析表》</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中的全部货物和服务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w:t>
      </w:r>
      <w:r>
        <w:rPr>
          <w:rFonts w:ascii="宋体" w:hAnsi="宋体" w:eastAsia="宋体" w:cs="Times New Roman"/>
          <w:color w:val="auto"/>
          <w:sz w:val="24"/>
          <w:szCs w:val="24"/>
          <w:highlight w:val="none"/>
          <w:lang w:val="en-US" w:eastAsia="zh-CN" w:bidi="ar-SA"/>
        </w:rPr>
        <w:t xml:space="preserve">谈判响应单位未填单价的项目，在实施后，采购单位将不予支付，并视为该项费用已包括在其它有价款的单价</w:t>
      </w:r>
      <w:r>
        <w:rPr>
          <w:rFonts w:hint="eastAsia" w:ascii="宋体" w:hAnsi="宋体" w:eastAsia="宋体" w:cs="Times New Roman"/>
          <w:color w:val="auto"/>
          <w:sz w:val="24"/>
          <w:szCs w:val="24"/>
          <w:highlight w:val="none"/>
          <w:lang w:val="en-US" w:eastAsia="zh-CN" w:bidi="ar-SA"/>
        </w:rPr>
        <w:t xml:space="preserve">。</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2、谈判响应单位应按全部货物和服务计算单价。《谈判报价分析表》中的每一单项均应计算并填写单价。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谈判响应单位应对谈判文件内所要采购的全部内容进行报价，只投其中部分内容者，其采购文件将被拒绝。但如果谈判文件要求分标段响应的，则谈判响应单位可以有选择地只投其中一个或几个标段，也可以投全部标段，但各标段应分别计算填写单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一项响应内容只允许一个报价，采购单位不接受任何有选择性的响应报价。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5、谈判响应文件报价中的单价全部采用人民币表示，除非合同的特殊条款另有规定。</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谈判响应文件的有效期</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1、自谈判响应文件提交截止之日起</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天内，谈判响应文件应保持有效。谈判响应文件的有效期不明确或短于上述规定期限的，谈判响应文件无效。</w:t>
      </w:r>
      <w:r/>
    </w:p>
    <w:p>
      <w:pPr>
        <w:spacing w:line="35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十三、截止时间</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1、谈判响应文件必须在递交截止时间前上传系统。</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2、谈判采购单位推迟谈判截止时间时，应以书面形式，通知所有谈判供应商。在这种情况下，谈判采购单位和谈判供应商的权利和义务将受到新的截止期的约束。</w:t>
      </w:r>
      <w:r/>
    </w:p>
    <w:p>
      <w:pPr>
        <w:ind w:firstLine="480"/>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3、至响应截止时间止招标代理机构收到的响应文件少于三家的，招标代理机构有权宣布本次采购流标。</w:t>
      </w:r>
      <w:r/>
    </w:p>
    <w:p>
      <w:pPr>
        <w:spacing w:line="360" w:lineRule="auto"/>
        <w:rPr>
          <w:rFonts w:ascii="宋体" w:hAnsi="宋体" w:eastAsia="宋体" w:cs="Arial"/>
          <w:b/>
          <w:color w:val="auto"/>
          <w:sz w:val="24"/>
          <w:szCs w:val="24"/>
          <w:highlight w:val="none"/>
        </w:rPr>
      </w:pPr>
      <w:r/>
      <w:bookmarkStart w:id="38" w:name="_Toc20823299"/>
      <w:r/>
      <w:bookmarkStart w:id="39" w:name="_Toc16938543"/>
      <w:r/>
      <w:bookmarkStart w:id="40" w:name="_Toc513029227"/>
      <w:r>
        <w:rPr>
          <w:rFonts w:hint="eastAsia" w:ascii="宋体" w:hAnsi="宋体" w:eastAsia="宋体" w:cs="Arial"/>
          <w:b/>
          <w:color w:val="auto"/>
          <w:sz w:val="24"/>
          <w:szCs w:val="24"/>
          <w:highlight w:val="none"/>
        </w:rPr>
        <w:t xml:space="preserve">十四、响应文件</w:t>
      </w:r>
      <w:bookmarkEnd w:id="38"/>
      <w:r/>
      <w:bookmarkEnd w:id="39"/>
      <w:r/>
      <w:bookmarkEnd w:id="40"/>
      <w:r>
        <w:rPr>
          <w:rFonts w:hint="eastAsia" w:ascii="宋体" w:hAnsi="宋体" w:eastAsia="宋体" w:cs="Arial"/>
          <w:b/>
          <w:color w:val="auto"/>
          <w:sz w:val="24"/>
          <w:szCs w:val="24"/>
          <w:highlight w:val="none"/>
        </w:rPr>
        <w:t xml:space="preserve">的拒收</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1、代理机构拒绝接收在其规定的提交响应文件截止时间后上传的任何电子响应文件。</w:t>
      </w:r>
      <w:r/>
    </w:p>
    <w:p>
      <w:pPr>
        <w:spacing w:line="360" w:lineRule="auto"/>
        <w:rPr>
          <w:rFonts w:ascii="宋体" w:hAnsi="宋体" w:eastAsia="宋体" w:cs="Arial"/>
          <w:b/>
          <w:color w:val="auto"/>
          <w:sz w:val="24"/>
          <w:szCs w:val="24"/>
          <w:highlight w:val="none"/>
        </w:rPr>
      </w:pPr>
      <w:r/>
      <w:bookmarkStart w:id="41" w:name="_Toc513029228"/>
      <w:r/>
      <w:bookmarkStart w:id="42" w:name="_Toc20823300"/>
      <w:r/>
      <w:bookmarkStart w:id="43" w:name="_Toc16938544"/>
      <w:r>
        <w:rPr>
          <w:rFonts w:hint="eastAsia" w:ascii="宋体" w:hAnsi="宋体" w:eastAsia="宋体" w:cs="Arial"/>
          <w:b/>
          <w:color w:val="auto"/>
          <w:sz w:val="24"/>
          <w:szCs w:val="24"/>
          <w:highlight w:val="none"/>
        </w:rPr>
        <w:t xml:space="preserve">十五、响应文件的撤回和修改</w:t>
      </w:r>
      <w:bookmarkEnd w:id="41"/>
      <w:r/>
      <w:bookmarkEnd w:id="42"/>
      <w:r/>
      <w:bookmarkEnd w:id="43"/>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1.1 电子响应文件的撤回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截止时间前，撤回其电子响应文件，具体操作方法见《操作手册》。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供应商撤回电子响应文件，则认为其不再参与本项目谈判活动。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2、响应文件的修改</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截止时间前，对其电子响应文件进行修改，具体操作方法见《操作手册》。</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w:t>
      </w:r>
      <w:r>
        <w:rPr>
          <w:rFonts w:hint="eastAsia" w:ascii="宋体" w:hAnsi="宋体" w:eastAsia="宋体"/>
          <w:bCs/>
          <w:color w:val="auto"/>
          <w:sz w:val="24"/>
          <w:szCs w:val="21"/>
          <w:highlight w:val="none"/>
        </w:rPr>
        <w:t xml:space="preserve"> 在提交响应文件截止时间之后，供应商不得对其电子响应文件作任何修改。</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4、</w:t>
      </w:r>
      <w:r>
        <w:rPr>
          <w:rFonts w:hint="eastAsia" w:ascii="宋体" w:hAnsi="宋体" w:eastAsia="宋体"/>
          <w:bCs/>
          <w:color w:val="auto"/>
          <w:sz w:val="24"/>
          <w:szCs w:val="21"/>
          <w:highlight w:val="none"/>
        </w:rPr>
        <w:t xml:space="preserve"> 在提交响应文件截止时间至谈判文件中规定的谈判有效期满之间的这段时间内，供应商不得撤回其响应文件。</w:t>
      </w:r>
      <w:r/>
    </w:p>
    <w:p>
      <w:pPr>
        <w:jc w:val="both"/>
        <w:keepLines/>
        <w:keepNext/>
        <w:spacing w:line="360" w:lineRule="auto"/>
        <w:widowControl w:val="off"/>
        <w:rPr>
          <w:rFonts w:ascii="宋体" w:hAnsi="宋体" w:eastAsia="宋体" w:cs="Times New Roman"/>
          <w:b/>
          <w:bCs/>
          <w:color w:val="auto"/>
          <w:sz w:val="24"/>
          <w:szCs w:val="32"/>
          <w:highlight w:val="none"/>
          <w:lang w:val="en-US" w:eastAsia="zh-CN" w:bidi="ar-SA"/>
        </w:rPr>
        <w:outlineLvl w:val="1"/>
      </w:pPr>
      <w:r>
        <w:rPr>
          <w:rFonts w:hint="eastAsia" w:ascii="宋体" w:hAnsi="宋体" w:eastAsia="宋体" w:cs="Times New Roman"/>
          <w:b/>
          <w:bCs/>
          <w:color w:val="auto"/>
          <w:sz w:val="24"/>
          <w:szCs w:val="24"/>
          <w:highlight w:val="none"/>
          <w:lang w:val="en-US" w:eastAsia="zh-CN" w:bidi="ar-SA"/>
        </w:rPr>
        <w:t xml:space="preserve">十六、</w:t>
      </w:r>
      <w:r>
        <w:rPr>
          <w:rFonts w:hint="eastAsia" w:ascii="宋体" w:hAnsi="宋体" w:eastAsia="宋体" w:cs="Times New Roman"/>
          <w:b/>
          <w:bCs/>
          <w:color w:val="auto"/>
          <w:sz w:val="24"/>
          <w:szCs w:val="32"/>
          <w:highlight w:val="none"/>
          <w:lang w:val="en-US" w:eastAsia="zh-CN" w:bidi="ar-SA"/>
        </w:rPr>
        <w:t xml:space="preserve">响应文件的解密与评审</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1、响应文件解密</w:t>
      </w:r>
      <w:r/>
    </w:p>
    <w:p>
      <w:pPr>
        <w:ind w:firstLine="480"/>
        <w:spacing w:line="360" w:lineRule="auto"/>
        <w:rPr>
          <w:rFonts w:eastAsia="宋体"/>
          <w:color w:val="auto"/>
          <w:sz w:val="21"/>
          <w:szCs w:val="21"/>
          <w:highlight w:val="none"/>
        </w:rPr>
      </w:pPr>
      <w:r>
        <w:rPr>
          <w:rFonts w:hint="eastAsia" w:ascii="宋体" w:hAnsi="宋体" w:eastAsia="宋体"/>
          <w:color w:val="auto"/>
          <w:sz w:val="24"/>
          <w:szCs w:val="24"/>
          <w:highlight w:val="none"/>
        </w:rPr>
        <w:t xml:space="preserve">供应商应当按照《操作手册》规定，在苏采云系统规定的时间内对谈判响应文件进行解密。</w:t>
      </w:r>
      <w:r/>
    </w:p>
    <w:p>
      <w:pPr>
        <w:ind w:firstLine="482"/>
        <w:spacing w:line="360" w:lineRule="auto"/>
        <w:rPr>
          <w:rFonts w:ascii="宋体" w:hAnsi="宋体" w:eastAsia="宋体" w:cs="Arial"/>
          <w:b/>
          <w:color w:val="auto"/>
          <w:sz w:val="24"/>
          <w:szCs w:val="24"/>
          <w:highlight w:val="none"/>
        </w:rPr>
      </w:pPr>
      <w:r/>
      <w:bookmarkStart w:id="44" w:name="_Toc20823303"/>
      <w:r/>
      <w:bookmarkStart w:id="45" w:name="_Toc513029231"/>
      <w:r/>
      <w:bookmarkStart w:id="46" w:name="_Toc16938547"/>
      <w:r>
        <w:rPr>
          <w:rFonts w:hint="eastAsia" w:ascii="宋体" w:hAnsi="宋体" w:eastAsia="宋体" w:cs="Arial"/>
          <w:b/>
          <w:color w:val="auto"/>
          <w:sz w:val="24"/>
          <w:szCs w:val="24"/>
          <w:highlight w:val="none"/>
        </w:rPr>
        <w:t xml:space="preserve">2、谈判小组</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2.1代理机构将组织谈判小组对响应文件进行评审。谈判小组由采购人代表和有关技术、经济等方面的专家组成，且人员构成符合政府采购有关规定。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2.2谈判小组独立工作，负责评审所有响应文件并确定成交人。</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3、评审过程的保密与公正</w:t>
      </w:r>
      <w:bookmarkEnd w:id="44"/>
      <w:r/>
      <w:bookmarkEnd w:id="45"/>
      <w:r/>
      <w:bookmarkEnd w:id="46"/>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3.1</w:t>
      </w:r>
      <w:r>
        <w:rPr>
          <w:rFonts w:hint="eastAsia" w:ascii="宋体" w:hAnsi="宋体" w:eastAsia="宋体"/>
          <w:bCs/>
          <w:color w:val="auto"/>
          <w:sz w:val="24"/>
          <w:szCs w:val="21"/>
          <w:highlight w:val="none"/>
        </w:rPr>
        <w:t xml:space="preserve">谈判小组、采购人和代理机构工作人员、相关监督人员等与评审工作有关的人员，对评审情况以及在评审过程中获悉的国家秘密、商业秘密负有保密责任。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3.2</w:t>
      </w:r>
      <w:r>
        <w:rPr>
          <w:rFonts w:hint="eastAsia" w:ascii="宋体" w:hAnsi="宋体" w:eastAsia="宋体"/>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3.3</w:t>
      </w:r>
      <w:r>
        <w:rPr>
          <w:rFonts w:hint="eastAsia" w:ascii="宋体" w:hAnsi="宋体" w:eastAsia="宋体"/>
          <w:color w:val="auto"/>
          <w:sz w:val="24"/>
          <w:szCs w:val="24"/>
          <w:highlight w:val="none"/>
        </w:rPr>
        <w:t xml:space="preserve">在项目评审期间，代理机构将设专门人员与供应商联系。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代理机构和谈判小组不向未成交的供应商解释未成交原因，也不公布评审过程中的相关细节。</w:t>
      </w:r>
      <w:r/>
    </w:p>
    <w:p>
      <w:pPr>
        <w:ind w:firstLine="482"/>
        <w:spacing w:line="360" w:lineRule="auto"/>
        <w:rPr>
          <w:rFonts w:ascii="宋体" w:hAnsi="宋体" w:eastAsia="宋体" w:cs="Arial"/>
          <w:b/>
          <w:color w:val="auto"/>
          <w:sz w:val="24"/>
          <w:szCs w:val="24"/>
          <w:highlight w:val="none"/>
        </w:rPr>
      </w:pPr>
      <w:r/>
      <w:bookmarkStart w:id="47" w:name="_Toc20823304"/>
      <w:r/>
      <w:bookmarkStart w:id="48" w:name="_Toc513029232"/>
      <w:r/>
      <w:bookmarkStart w:id="49" w:name="_Toc16938548"/>
      <w:r>
        <w:rPr>
          <w:rFonts w:hint="eastAsia" w:ascii="宋体" w:hAnsi="宋体" w:eastAsia="宋体" w:cs="Arial"/>
          <w:b/>
          <w:color w:val="auto"/>
          <w:sz w:val="24"/>
          <w:szCs w:val="24"/>
          <w:highlight w:val="none"/>
        </w:rPr>
        <w:t xml:space="preserve">4、评审过程中的的澄清</w:t>
      </w:r>
      <w:bookmarkEnd w:id="47"/>
      <w:r/>
      <w:bookmarkEnd w:id="48"/>
      <w:r/>
      <w:bookmarkEnd w:id="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4.2需要供应商进行澄清、说明和更正的，谈判小组将通过</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向供应商发布“澄清要求函”，接到“澄清要求函”的供应商应当按照要求在</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中提交“澄清响应函”并加盖CA电子公章。澄清、说明和更正的内容作为响应文件的补充部分，具体</w:t>
      </w:r>
      <w:r>
        <w:rPr>
          <w:rFonts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rPr>
        <w:t xml:space="preserve">方式</w:t>
      </w:r>
      <w:r>
        <w:rPr>
          <w:rFonts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rPr>
        <w:t xml:space="preserve">《操作手册》。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4.3 接到谈判小组澄清、说明和更正要求的供应商如未按规定做出澄清、说明和更正，其风险由供应商自行承担。</w:t>
      </w:r>
      <w:r/>
    </w:p>
    <w:p>
      <w:pPr>
        <w:ind w:firstLine="482"/>
        <w:spacing w:line="360" w:lineRule="auto"/>
        <w:rPr>
          <w:rFonts w:ascii="宋体" w:hAnsi="宋体" w:eastAsia="宋体" w:cs="Arial"/>
          <w:b/>
          <w:color w:val="auto"/>
          <w:sz w:val="24"/>
          <w:szCs w:val="24"/>
          <w:highlight w:val="none"/>
        </w:rPr>
      </w:pPr>
      <w:r/>
      <w:bookmarkStart w:id="50" w:name="_Toc513029233"/>
      <w:r/>
      <w:bookmarkStart w:id="51" w:name="_Toc16938549"/>
      <w:r/>
      <w:bookmarkStart w:id="52" w:name="_Toc20823305"/>
      <w:r>
        <w:rPr>
          <w:rFonts w:hint="eastAsia" w:ascii="宋体" w:hAnsi="宋体" w:eastAsia="宋体" w:cs="Arial"/>
          <w:b/>
          <w:color w:val="auto"/>
          <w:sz w:val="24"/>
          <w:szCs w:val="24"/>
          <w:highlight w:val="none"/>
        </w:rPr>
        <w:t xml:space="preserve">5、对响应文件的审</w:t>
      </w:r>
      <w:bookmarkEnd w:id="50"/>
      <w:r/>
      <w:bookmarkEnd w:id="51"/>
      <w:r/>
      <w:bookmarkEnd w:id="52"/>
      <w:r>
        <w:rPr>
          <w:rFonts w:hint="eastAsia" w:ascii="宋体" w:hAnsi="宋体" w:eastAsia="宋体" w:cs="Arial"/>
          <w:b/>
          <w:color w:val="auto"/>
          <w:sz w:val="24"/>
          <w:szCs w:val="24"/>
          <w:highlight w:val="none"/>
        </w:rPr>
        <w:t xml:space="preserve">查</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5.1</w:t>
      </w:r>
      <w:r>
        <w:rPr>
          <w:rFonts w:hint="eastAsia" w:ascii="宋体" w:hAnsi="宋体" w:eastAsia="宋体"/>
          <w:bCs/>
          <w:color w:val="auto"/>
          <w:sz w:val="24"/>
          <w:szCs w:val="21"/>
          <w:highlight w:val="none"/>
        </w:rPr>
        <w:t xml:space="preserve">响应文件审查分为资格审查和符合性审查。</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5.2</w:t>
      </w:r>
      <w:r>
        <w:rPr>
          <w:rFonts w:hint="eastAsia" w:ascii="宋体" w:hAnsi="宋体" w:eastAsia="宋体"/>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5.3未实质性响应谈判文件的情形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5.3.1供应商在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1"/>
          <w:highlight w:val="none"/>
        </w:rPr>
        <w:t xml:space="preserve">规定的时间内未成功解密电子响应文件的。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5.3.2供应商未按照谈判文件要求上传电子响应文件的。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5.3.3同一供应商提交两个（含两个）以上不同的响应文件或者最后报价的。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5.3.4供应商不具备谈判文件中规定资格要求的。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5.3.5供应商的报价超过了采购预算。</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5.3.6不符合谈判文件中规定的实质性要求和条件的。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5.3.8 响应文件含有采购人不能接受的附加条件的。</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5.3.9 本项目采购产品被财政部、国家发改委、生态环境部等列入“节能产品品目清单”强制采购范围，而谈判供应商所谈判产品不在强制采购范围内的。</w:t>
      </w:r>
      <w:r>
        <w:rPr>
          <w:rFonts w:hint="eastAsia" w:ascii="宋体" w:hAnsi="宋体" w:eastAsia="宋体"/>
          <w:b/>
          <w:bCs/>
          <w:color w:val="auto"/>
          <w:sz w:val="24"/>
          <w:szCs w:val="21"/>
          <w:highlight w:val="none"/>
        </w:rPr>
        <w:t xml:space="preserve">（谈判产品如属于政府强制采购节能产品品目清单范围内，谈判响应文件中必须提供国家确定的认证机构出具的、处于有效期之内的该节能产品认证证书图片。）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5.3.10响应文件未按照谈判文件要求加盖CA电子公章的。</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5.4未实质性响应谈判文件的响应文件按无效响应处理。</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5.5机器码一致的响应文件按无效响应处理。</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w:t>
      </w:r>
      <w:r>
        <w:rPr>
          <w:rFonts w:hint="eastAsia" w:ascii="宋体" w:hAnsi="宋体" w:eastAsia="宋体"/>
          <w:color w:val="auto"/>
          <w:sz w:val="24"/>
          <w:szCs w:val="21"/>
          <w:highlight w:val="none"/>
          <w:lang w:val="en-US" w:eastAsia="zh-CN"/>
        </w:rPr>
        <w:t xml:space="preserve">6</w:t>
      </w:r>
      <w:r>
        <w:rPr>
          <w:rFonts w:hint="eastAsia" w:ascii="宋体" w:hAnsi="宋体" w:eastAsia="宋体"/>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宋体" w:hAnsi="宋体" w:eastAsia="宋体"/>
          <w:color w:val="auto"/>
          <w:sz w:val="24"/>
          <w:szCs w:val="21"/>
          <w:highlight w:val="none"/>
        </w:rPr>
      </w:pPr>
      <w:r/>
      <w:bookmarkStart w:id="53" w:name="_Toc513029234"/>
      <w:r/>
      <w:bookmarkStart w:id="54" w:name="_Toc20823306"/>
      <w:r/>
      <w:bookmarkStart w:id="55" w:name="_Toc16938550"/>
      <w:r>
        <w:rPr>
          <w:rFonts w:hint="eastAsia" w:ascii="宋体" w:hAnsi="宋体" w:eastAsia="宋体"/>
          <w:color w:val="auto"/>
          <w:sz w:val="24"/>
          <w:szCs w:val="21"/>
          <w:highlight w:val="none"/>
        </w:rPr>
        <w:t xml:space="preserve">5.</w:t>
      </w:r>
      <w:r>
        <w:rPr>
          <w:rFonts w:hint="eastAsia" w:ascii="宋体" w:hAnsi="宋体" w:eastAsia="宋体"/>
          <w:color w:val="auto"/>
          <w:sz w:val="24"/>
          <w:szCs w:val="21"/>
          <w:highlight w:val="none"/>
          <w:lang w:val="en-US" w:eastAsia="zh-CN"/>
        </w:rPr>
        <w:t xml:space="preserve">7</w:t>
      </w:r>
      <w:r>
        <w:rPr>
          <w:rFonts w:hint="eastAsia" w:ascii="宋体" w:hAnsi="宋体" w:eastAsia="宋体"/>
          <w:color w:val="auto"/>
          <w:sz w:val="24"/>
          <w:szCs w:val="21"/>
          <w:highlight w:val="none"/>
        </w:rPr>
        <w:t xml:space="preserve">供应商在项目评审全过程中应保持通讯畅通，并安排专人与代理机构及谈判小组联系。</w:t>
      </w:r>
      <w:bookmarkEnd w:id="53"/>
      <w:r/>
      <w:bookmarkEnd w:id="54"/>
      <w:r/>
      <w:bookmarkEnd w:id="55"/>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6、谈判程序及成交原则</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6.1谈判程序</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6.1.1对于通过资格审查和符合性审查的供应商，谈判小组认为有必要与供应商进行谈判的，谈判小组将集中与单一供应商分别进行谈判。谈判小组通过苏采云系统向供应商发布“谈判函”，供应商应当按照要求在苏采云系统提交“谈判响应函”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6.1.2</w:t>
      </w:r>
      <w:r>
        <w:rPr>
          <w:rFonts w:ascii="宋体" w:hAnsi="宋体" w:eastAsia="宋体"/>
          <w:color w:val="auto"/>
          <w:sz w:val="24"/>
          <w:szCs w:val="24"/>
          <w:highlight w:val="none"/>
        </w:rPr>
        <w:t xml:space="preserve">谈判文件能够详细列明采购标的的技术、服务要求的，谈判结束后，谈判小组</w:t>
      </w:r>
      <w:r>
        <w:rPr>
          <w:rFonts w:hint="eastAsia" w:ascii="宋体" w:hAnsi="宋体" w:eastAsia="宋体"/>
          <w:color w:val="auto"/>
          <w:sz w:val="24"/>
          <w:szCs w:val="24"/>
          <w:highlight w:val="none"/>
        </w:rPr>
        <w:t xml:space="preserve">将在苏采云系统向所有</w:t>
      </w:r>
      <w:r>
        <w:rPr>
          <w:rFonts w:ascii="宋体" w:hAnsi="宋体" w:eastAsia="宋体"/>
          <w:color w:val="auto"/>
          <w:sz w:val="24"/>
          <w:szCs w:val="24"/>
          <w:highlight w:val="none"/>
        </w:rPr>
        <w:t xml:space="preserve">实质性响应的供应商</w:t>
      </w:r>
      <w:r>
        <w:rPr>
          <w:rFonts w:hint="eastAsia" w:ascii="宋体" w:hAnsi="宋体" w:eastAsia="宋体"/>
          <w:color w:val="auto"/>
          <w:sz w:val="24"/>
          <w:szCs w:val="24"/>
          <w:highlight w:val="none"/>
        </w:rPr>
        <w:t xml:space="preserve">发布“最后报价要求函”及最后报价格式表，</w:t>
      </w:r>
      <w:r>
        <w:rPr>
          <w:rFonts w:ascii="宋体" w:hAnsi="宋体" w:eastAsia="宋体"/>
          <w:color w:val="auto"/>
          <w:sz w:val="24"/>
          <w:szCs w:val="24"/>
          <w:highlight w:val="none"/>
        </w:rPr>
        <w:t xml:space="preserve">要求所有实质性响应的供应商在规定时间内提交最后报价。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6.1.3供应商未在谈判小组规定的时间内在苏采云系统中提交最后报价的视为放弃谈判，其响应文件按无效响应处理，最后报价格式表须加盖CA电子公章,否则视为未提交最后报价。</w:t>
      </w:r>
      <w:r>
        <w:rPr>
          <w:rFonts w:ascii="宋体" w:hAnsi="宋体" w:eastAsia="宋体"/>
          <w:color w:val="auto"/>
          <w:sz w:val="24"/>
          <w:szCs w:val="24"/>
          <w:highlight w:val="none"/>
        </w:rPr>
        <w:t xml:space="preserve">已提交响应文件的供应商，在提交最后报价之前，可以根据谈判情况退出谈判</w:t>
      </w:r>
      <w:r>
        <w:rPr>
          <w:rFonts w:hint="eastAsia" w:ascii="宋体" w:hAnsi="宋体" w:eastAsia="宋体"/>
          <w:color w:val="auto"/>
          <w:sz w:val="24"/>
          <w:szCs w:val="24"/>
          <w:highlight w:val="none"/>
        </w:rPr>
        <w:t xml:space="preserve">，并在苏采云系统中提交“退出谈判函”并加盖CA电子公章</w:t>
      </w:r>
      <w:r>
        <w:rPr>
          <w:rFonts w:ascii="宋体" w:hAnsi="宋体" w:eastAsia="宋体"/>
          <w:color w:val="auto"/>
          <w:sz w:val="24"/>
          <w:szCs w:val="24"/>
          <w:highlight w:val="none"/>
        </w:rPr>
        <w:t xml:space="preserve">。</w:t>
      </w:r>
      <w:r/>
    </w:p>
    <w:p>
      <w:pPr>
        <w:ind w:firstLine="478"/>
        <w:spacing w:line="360" w:lineRule="auto"/>
        <w:tabs>
          <w:tab w:val="left" w:pos="9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6.1.3二次报价时间为15分钟，供应商应当在电脑前时刻保持关注，如未在规定时间内完成二次报价，该结果都由供应商自行负责并承担。</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 成交原则</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人。</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6.2.4 采购人确定成交供应商后，代理机构将在“苏州市政府采购网”发布成交结果公告，公告期限为1个工作日。</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6.3对小微型企业、监狱企业和残疾人福利单位的采购政策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.3.1</w:t>
      </w:r>
      <w:r>
        <w:rPr>
          <w:rFonts w:hint="eastAsia" w:ascii="宋体" w:hAnsi="宋体" w:eastAsia="宋体"/>
          <w:color w:val="auto"/>
          <w:sz w:val="24"/>
          <w:szCs w:val="24"/>
          <w:highlight w:val="none"/>
        </w:rPr>
        <w:t xml:space="preserve">小、微企业</w:t>
      </w:r>
      <w:r/>
    </w:p>
    <w:p>
      <w:pPr>
        <w:contextualSpacing/>
        <w:ind w:firstLine="480"/>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bCs/>
          <w:color w:val="auto"/>
          <w:sz w:val="24"/>
          <w:highlight w:val="none"/>
        </w:rPr>
        <w:t xml:space="preserve">。小</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微企业划型标准根据《中小企业划型标准规定》（工信部联企业【2011】 300 号）。</w:t>
      </w:r>
      <w:r>
        <w:rPr>
          <w:rFonts w:hint="eastAsia" w:ascii="宋体" w:hAnsi="宋体" w:eastAsia="宋体" w:cs="宋体"/>
          <w:bCs/>
          <w:color w:val="auto"/>
          <w:sz w:val="24"/>
          <w:highlight w:val="none"/>
          <w:lang w:val="en-US" w:eastAsia="zh-CN"/>
        </w:rPr>
        <w:t xml:space="preserve">对符合小、微企业价格扣除要求的，对小、微企业的投标报价给予20%的扣除，用扣除后的价格参与评审。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.3.2</w:t>
      </w:r>
      <w:r>
        <w:rPr>
          <w:rFonts w:hint="eastAsia" w:ascii="宋体" w:hAnsi="宋体" w:eastAsia="宋体"/>
          <w:color w:val="auto"/>
          <w:sz w:val="24"/>
          <w:szCs w:val="24"/>
          <w:highlight w:val="none"/>
        </w:rPr>
        <w:t xml:space="preserve">残疾人福利性单位</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三部门联合发布关于促进残疾人就业政府采购政策的通知》（财库〔2017〕141号）的相关规定，如供应商为残疾人福利性单位且所投货物制造商均为残疾人福利性单位，则视同小型、微型企业，享受预留份额的政府采购政策。加盖C</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电子公章后的《残疾人福利性单位声明函》电子件放置于响应文件中提交，未提交则不享受预留采购份额政策。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.3.3</w:t>
      </w:r>
      <w:r>
        <w:rPr>
          <w:rFonts w:hint="eastAsia" w:ascii="宋体" w:hAnsi="宋体" w:eastAsia="宋体"/>
          <w:color w:val="auto"/>
          <w:sz w:val="24"/>
          <w:szCs w:val="24"/>
          <w:highlight w:val="none"/>
        </w:rPr>
        <w:t xml:space="preserve">监狱企业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微型企业，享受预留份额的政府采购政策。证明文件电子件放置于响应文件中提交，未提交则不享受预留采购份额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采购活动终止的情况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出现下列情形之一的，本次竞争性谈判采购活动将被终止：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.1因情况变化，不再符合规定的竞争性谈判采购方式适用情形的。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.2出现影响采购公正的违法、违规行为的。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.3在采购过程中符合要求的供应商或者最后报价未超过采购预算的供应商不足3家的。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6.3.4在苏采云系统规定时间内成功解密电子响应文件的供应商不足3家的。</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7、</w:t>
      </w:r>
      <w:r>
        <w:rPr>
          <w:rFonts w:hint="eastAsia" w:ascii="宋体" w:hAnsi="宋体" w:eastAsia="宋体"/>
          <w:b/>
          <w:bCs/>
          <w:color w:val="auto"/>
          <w:sz w:val="24"/>
          <w:szCs w:val="24"/>
          <w:highlight w:val="none"/>
        </w:rPr>
        <w:t xml:space="preserve">异常低价问题</w:t>
      </w:r>
      <w:r>
        <w:rPr>
          <w:rFonts w:hint="eastAsia" w:ascii="宋体" w:hAnsi="宋体" w:eastAsia="宋体"/>
          <w:b/>
          <w:bCs/>
          <w:color w:val="auto"/>
          <w:sz w:val="24"/>
          <w:szCs w:val="24"/>
          <w:highlight w:val="none"/>
          <w:lang w:val="en-US" w:eastAsia="zh-CN"/>
        </w:rPr>
        <w:t xml:space="preserve">处理</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7.1</w:t>
      </w:r>
      <w:r>
        <w:rPr>
          <w:rFonts w:hint="eastAsia" w:ascii="宋体" w:hAnsi="宋体" w:eastAsia="宋体"/>
          <w:b/>
          <w:bCs/>
          <w:color w:val="auto"/>
          <w:sz w:val="24"/>
          <w:szCs w:val="24"/>
          <w:highlight w:val="none"/>
        </w:rPr>
        <w:t xml:space="preserve">根据《关于推动解决政府采购异常低价问题相关工作的通知》（苏财购〔2025〕62号），评审委员会启动异常低价投标（响应）审查的情形和具体要求，包括：</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7.2</w:t>
      </w:r>
      <w:r>
        <w:rPr>
          <w:rFonts w:hint="eastAsia" w:ascii="宋体" w:hAnsi="宋体" w:eastAsia="宋体"/>
          <w:b/>
          <w:bCs/>
          <w:color w:val="auto"/>
          <w:sz w:val="24"/>
          <w:szCs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①投标（响应）报价低于采购项目预算50%的，即投标（响应）报价&lt;采购项目预算×50%；</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②投标（响应）报价低于采购项目最高限价45%的，即投标（响应）报价&lt;采购项目最高限价×45%；</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③评审委员会认定的供应商报价过低、有可能影响产品质量或者不能诚信履约的其他情形。</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7.3</w:t>
      </w:r>
      <w:r>
        <w:rPr>
          <w:rFonts w:hint="eastAsia" w:ascii="宋体" w:hAnsi="宋体" w:eastAsia="宋体"/>
          <w:b/>
          <w:bCs/>
          <w:color w:val="auto"/>
          <w:sz w:val="24"/>
          <w:szCs w:val="24"/>
          <w:highlight w:val="none"/>
        </w:rPr>
        <w:t xml:space="preserve">启动异常低价投标（响应）审查后，评审委员会将要求相关供应商在合理的时间内，线上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十七、成交供应商被取消成交资格情形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若有充分证据证明，成交供应商出现下列情况之一的，一经查实，将被取消成交资格：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1、提供虚假材料谋取成交的。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2、与评审专家、采购人、其他供应商或者代理机构工作人员恶意串通的。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3、向评审专家、采购人或代理机构工作人员行贿或者提供其他不正当利益的。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4、恶意竞争，最后报价明显低于其自身合理成本且又无法提供证明的。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5、不满足本谈判文件规定的实质性要求，但在评审过程中又未被谈判小组发现的。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6、成交后无正当理由拒不与采购人签订政府采购合同或者未按照谈判文件确定的事项签订政府采购合同的。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7、将政府采购合同转包的。</w:t>
      </w:r>
      <w:r/>
    </w:p>
    <w:p>
      <w:pPr>
        <w:spacing w:line="360" w:lineRule="auto"/>
        <w:rPr>
          <w:rFonts w:ascii="宋体" w:hAnsi="宋体" w:eastAsia="宋体" w:cs="Arial"/>
          <w:b/>
          <w:color w:val="auto"/>
          <w:sz w:val="24"/>
          <w:szCs w:val="24"/>
          <w:highlight w:val="none"/>
        </w:rPr>
      </w:pPr>
      <w:r/>
      <w:bookmarkStart w:id="56" w:name="_Toc200451960"/>
      <w:r>
        <w:rPr>
          <w:rFonts w:hint="eastAsia" w:ascii="宋体" w:hAnsi="宋体" w:eastAsia="宋体" w:cs="Arial"/>
          <w:b/>
          <w:color w:val="auto"/>
          <w:sz w:val="24"/>
          <w:szCs w:val="24"/>
          <w:highlight w:val="none"/>
        </w:rPr>
        <w:t xml:space="preserve">十八、质疑处理</w:t>
      </w:r>
      <w:bookmarkEnd w:id="56"/>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1</w:t>
      </w:r>
      <w:r>
        <w:rPr>
          <w:rFonts w:hint="eastAsia" w:ascii="宋体" w:hAnsi="宋体" w:eastAsia="宋体"/>
          <w:bCs/>
          <w:color w:val="auto"/>
          <w:sz w:val="24"/>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bCs/>
          <w:color w:val="auto"/>
          <w:sz w:val="24"/>
          <w:szCs w:val="21"/>
          <w:highlight w:val="none"/>
        </w:rPr>
        <w:t xml:space="preserve">http://www.szzyjy.com.cn/kssfzx/034004/034004002/20190929/5beba8e5-100a-4262-89c0-d476cc460507.html</w:t>
      </w:r>
      <w:r>
        <w:rPr>
          <w:rFonts w:hint="eastAsia" w:ascii="宋体" w:hAnsi="宋体" w:eastAsia="宋体"/>
          <w:bCs/>
          <w:color w:val="auto"/>
          <w:sz w:val="24"/>
          <w:szCs w:val="21"/>
          <w:highlight w:val="none"/>
        </w:rPr>
        <w:t xml:space="preserve">）。</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供应商应当在法定质疑期内一次性提出针对同一采购程序环节的质疑。</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采购人、采购代理机构应当在收到供应商书面质疑后七个工作日内作出答复，并以书面形式通知质疑供应商和其他相关供应商。</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2</w:t>
      </w:r>
      <w:r>
        <w:rPr>
          <w:rFonts w:hint="eastAsia" w:ascii="宋体" w:hAnsi="宋体" w:eastAsia="宋体"/>
          <w:bCs/>
          <w:color w:val="auto"/>
          <w:sz w:val="24"/>
          <w:szCs w:val="21"/>
          <w:highlight w:val="none"/>
        </w:rPr>
        <w:t xml:space="preserve">、质疑函应包括以下主要内容，并按照</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谁主张、谁举证</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的原则，附上必要的证明材料。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2.1供应商的姓名或者名称、地址、邮编、联系人及联系电话；</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2.2质疑项目名称、编号；</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2.3具体、明确的质疑事项和与质疑事项相关的请求；</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2.4具体的事实依据及相关证据材料；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2.5必要的法律依据；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2.6提出质疑的日期；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.7</w:t>
      </w:r>
      <w:r>
        <w:rPr>
          <w:rFonts w:hint="eastAsia" w:ascii="宋体" w:hAnsi="宋体" w:eastAsia="宋体"/>
          <w:bCs/>
          <w:color w:val="auto"/>
          <w:sz w:val="24"/>
          <w:szCs w:val="21"/>
          <w:highlight w:val="none"/>
        </w:rPr>
        <w:t xml:space="preserve">投标供应商确认函（苏采云系统）；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8</w:t>
      </w:r>
      <w:r>
        <w:rPr>
          <w:rFonts w:hint="eastAsia" w:ascii="宋体" w:hAnsi="宋体" w:eastAsia="宋体"/>
          <w:bCs/>
          <w:color w:val="auto"/>
          <w:sz w:val="24"/>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9</w:t>
      </w:r>
      <w:r>
        <w:rPr>
          <w:rFonts w:hint="eastAsia" w:ascii="宋体" w:hAnsi="宋体" w:eastAsia="宋体"/>
          <w:bCs/>
          <w:color w:val="auto"/>
          <w:sz w:val="24"/>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代理人提出质疑，应当提交供应商签署的授权委托书。</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4、采购代理机构名称：苏州乐慧招投标咨询有限公司</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联系地址：苏州市相城区元和街道华元路766号都会商业中心1幢2706室</w:t>
      </w:r>
      <w:r/>
    </w:p>
    <w:p>
      <w:pPr>
        <w:ind w:firstLine="480"/>
        <w:spacing w:line="360" w:lineRule="auto"/>
        <w:rPr>
          <w:rFonts w:hint="eastAsia" w:ascii="宋体" w:hAnsi="宋体" w:eastAsia="宋体"/>
          <w:bCs/>
          <w:color w:val="auto"/>
          <w:sz w:val="24"/>
          <w:szCs w:val="21"/>
          <w:highlight w:val="none"/>
          <w:lang w:eastAsia="zh-CN"/>
        </w:rPr>
      </w:pPr>
      <w:r>
        <w:rPr>
          <w:rFonts w:ascii="宋体" w:hAnsi="宋体" w:eastAsia="宋体"/>
          <w:bCs/>
          <w:color w:val="auto"/>
          <w:sz w:val="24"/>
          <w:szCs w:val="21"/>
          <w:highlight w:val="none"/>
        </w:rPr>
        <w:t xml:space="preserve">联系电话：0512-69223600  联系人：</w:t>
      </w:r>
      <w:r>
        <w:rPr>
          <w:rFonts w:hint="eastAsia" w:ascii="宋体" w:hAnsi="宋体" w:eastAsia="宋体"/>
          <w:bCs/>
          <w:color w:val="auto"/>
          <w:sz w:val="24"/>
          <w:szCs w:val="21"/>
          <w:highlight w:val="none"/>
          <w:lang w:eastAsia="zh-CN"/>
        </w:rPr>
        <w:t xml:space="preserve">陈浩、王佳静</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十九、成交通知书</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、成交结果确定后，代理机构将向成交供应商发出成交通知书。</w:t>
      </w:r>
      <w:r>
        <w:rPr>
          <w:rFonts w:hint="eastAsia" w:ascii="宋体" w:hAnsi="宋体" w:eastAsia="宋体" w:cs="宋体"/>
          <w:color w:val="auto"/>
          <w:sz w:val="24"/>
          <w:szCs w:val="24"/>
          <w:highlight w:val="none"/>
        </w:rPr>
        <w:t xml:space="preserve">请成交供应商在成交结果公告届满之日起30日内,使用CA数字证书登录</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及时下载成交通知书。因系统存储空间有限，自成交结果公告届满之日起30日后，</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不再保证提供下载成交通知书服务,因未及时下载而造成的不利后果由成交供应商自行承担。</w:t>
      </w:r>
      <w:r/>
    </w:p>
    <w:p>
      <w:pPr>
        <w:ind w:firstLine="60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宋体" w:hAnsi="宋体" w:eastAsia="宋体" w:cs="Arial"/>
          <w:b/>
          <w:color w:val="auto"/>
          <w:sz w:val="24"/>
          <w:szCs w:val="24"/>
          <w:highlight w:val="none"/>
        </w:rPr>
      </w:pPr>
      <w:r/>
      <w:bookmarkStart w:id="57" w:name="_Toc16938553"/>
      <w:r/>
      <w:bookmarkStart w:id="58" w:name="_Toc513029237"/>
      <w:r/>
      <w:bookmarkStart w:id="59" w:name="_Toc20823309"/>
      <w:r>
        <w:rPr>
          <w:rFonts w:hint="eastAsia" w:ascii="宋体" w:hAnsi="宋体" w:eastAsia="宋体" w:cs="Arial"/>
          <w:b/>
          <w:color w:val="auto"/>
          <w:sz w:val="24"/>
          <w:szCs w:val="24"/>
          <w:highlight w:val="none"/>
        </w:rPr>
        <w:t xml:space="preserve">二十、签订合同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、成交供应商应当在成交通知书发出之日起三十日内，按照谈判文件确定的事项与采购人签订政府采购合同。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2、谈判文件、成交供应商的响应文件及谈判过程中有关澄清、承诺文件均应作为合同附件。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二十一、标的物的追加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7"/>
      <w:r/>
      <w:bookmarkEnd w:id="58"/>
      <w:r/>
      <w:bookmarkEnd w:id="59"/>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代理服务费</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1、成交单位按前附表规定计算并支付服务费，该费用在领取成交通知书时向采购代理机构一次性付清。</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2、成交单位如果未按规定缴纳代理服务费，采购代理机构将保留诉讼的权利。</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二十三、未尽事宜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按《中华人民共和国政府采购法》及其他有关政府采购的法律法规的规定执行。</w:t>
      </w:r>
      <w:r/>
    </w:p>
    <w:p>
      <w:pPr>
        <w:rPr>
          <w:rFonts w:ascii="宋体" w:hAnsi="宋体" w:eastAsia="宋体"/>
          <w:color w:val="auto"/>
          <w:highlight w:val="none"/>
        </w:rPr>
      </w:pPr>
      <w:r>
        <w:rPr>
          <w:rFonts w:ascii="宋体" w:hAnsi="宋体" w:eastAsia="宋体"/>
          <w:color w:val="auto"/>
          <w:highlight w:val="none"/>
        </w:rPr>
        <w:br w:type="page" w:clear="all"/>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widowControl w:val="off"/>
        <w:rPr>
          <w:rFonts w:ascii="宋体" w:hAnsi="宋体" w:eastAsia="宋体" w:cs="Times New Roman"/>
          <w:b w:val="0"/>
          <w:color w:val="auto"/>
          <w:sz w:val="52"/>
          <w:highlight w:val="none"/>
          <w:lang w:val="en-US" w:eastAsia="zh-CN" w:bidi="ar-SA"/>
        </w:rPr>
        <w:outlineLvl w:val="0"/>
      </w:pPr>
      <w:r/>
      <w:bookmarkStart w:id="60" w:name="_Toc27687"/>
      <w:r/>
      <w:bookmarkStart w:id="61" w:name="_Toc466918798"/>
      <w:r>
        <w:rPr>
          <w:rFonts w:hint="eastAsia" w:ascii="宋体" w:hAnsi="宋体" w:eastAsia="宋体" w:cs="Times New Roman"/>
          <w:b/>
          <w:color w:val="auto"/>
          <w:sz w:val="52"/>
          <w:highlight w:val="none"/>
          <w:lang w:val="en-US" w:eastAsia="zh-CN" w:bidi="ar-SA"/>
        </w:rPr>
        <w:t xml:space="preserve">第三章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谈判响应文件格式</w:t>
      </w:r>
      <w:bookmarkEnd w:id="60"/>
      <w:r/>
      <w:bookmarkEnd w:id="61"/>
      <w:r/>
      <w:r/>
    </w:p>
    <w:p>
      <w:pPr>
        <w:ind w:firstLine="0"/>
        <w:jc w:val="left"/>
        <w:spacing w:line="360" w:lineRule="auto"/>
        <w:widowControl w:val="off"/>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说明：</w:t>
      </w:r>
      <w:r/>
    </w:p>
    <w:p>
      <w:pPr>
        <w:ind w:firstLine="0"/>
        <w:jc w:val="left"/>
        <w:spacing w:line="360" w:lineRule="auto"/>
        <w:widowControl w:val="off"/>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   </w:t>
      </w:r>
      <w:r>
        <w:rPr>
          <w:rFonts w:ascii="宋体" w:hAnsi="宋体" w:eastAsia="宋体" w:cs="Times New Roman"/>
          <w:b/>
          <w:color w:val="auto"/>
          <w:sz w:val="24"/>
          <w:highlight w:val="none"/>
          <w:lang w:val="en-US" w:eastAsia="zh-CN" w:bidi="ar-SA"/>
        </w:rPr>
        <w:t xml:space="preserve"> </w:t>
      </w:r>
      <w:r>
        <w:rPr>
          <w:rFonts w:hint="eastAsia" w:ascii="宋体" w:hAnsi="宋体" w:eastAsia="宋体" w:cs="Times New Roman"/>
          <w:b/>
          <w:color w:val="auto"/>
          <w:sz w:val="24"/>
          <w:highlight w:val="none"/>
          <w:lang w:val="en-US" w:eastAsia="zh-CN" w:bidi="ar-SA"/>
        </w:rPr>
        <w:t xml:space="preserve">对本章所有的格式 ，谈判供应商可根据自身情况进行补充和修改，但补充和修改不得造成与本格式内容有实质性的违背。</w:t>
      </w:r>
      <w:r/>
    </w:p>
    <w:p>
      <w:pPr>
        <w:jc w:val="left"/>
        <w:widowControl/>
        <w:rPr>
          <w:rFonts w:hint="eastAsia" w:ascii="宋体" w:hAnsi="宋体" w:eastAsia="宋体" w:cs="宋体"/>
          <w:b/>
          <w:color w:val="auto"/>
          <w:sz w:val="24"/>
          <w:szCs w:val="22"/>
          <w:highlight w:val="none"/>
          <w:lang w:eastAsia="zh-CN"/>
        </w:rPr>
      </w:pPr>
      <w:r>
        <w:rPr>
          <w:rFonts w:ascii="宋体" w:hAnsi="宋体" w:eastAsia="宋体"/>
          <w:b/>
          <w:color w:val="auto"/>
          <w:sz w:val="28"/>
          <w:highlight w:val="none"/>
        </w:rPr>
        <w:br w:type="page" w:clear="all"/>
      </w:r>
      <w:r>
        <w:rPr>
          <w:rFonts w:hint="eastAsia" w:ascii="宋体" w:hAnsi="宋体" w:eastAsia="宋体"/>
          <w:b/>
          <w:color w:val="auto"/>
          <w:sz w:val="24"/>
          <w:szCs w:val="24"/>
          <w:highlight w:val="none"/>
        </w:rPr>
        <w:t xml:space="preserve">格式1、</w:t>
      </w:r>
      <w:r>
        <w:rPr>
          <w:rFonts w:hint="eastAsia" w:ascii="宋体" w:hAnsi="宋体" w:eastAsia="宋体" w:cs="宋体"/>
          <w:b/>
          <w:color w:val="auto"/>
          <w:sz w:val="24"/>
          <w:szCs w:val="22"/>
          <w:highlight w:val="none"/>
          <w:lang w:eastAsia="zh-CN"/>
        </w:rPr>
        <w:t xml:space="preserve">谈判报价表</w:t>
      </w:r>
      <w:r/>
    </w:p>
    <w:p>
      <w:pPr>
        <w:jc w:val="center"/>
        <w:spacing w:line="360" w:lineRule="auto"/>
        <w:widowControl/>
        <w:rPr>
          <w:rFonts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谈判报价表</w:t>
      </w:r>
      <w:r>
        <w:rPr>
          <w:rFonts w:hint="eastAsia" w:ascii="宋体" w:hAnsi="宋体" w:eastAsia="宋体"/>
          <w:b/>
          <w:color w:val="auto"/>
          <w:sz w:val="24"/>
          <w:szCs w:val="24"/>
          <w:highlight w:val="none"/>
        </w:rPr>
        <w:t xml:space="preserve">（总报价）</w:t>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tbl>
      <w:tblPr>
        <w:tblStyle w:val="891"/>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891"/>
        <w:gridCol w:w="5355"/>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rPr>
              <w:t xml:space="preserve">报价（小写）</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报价（大写金额）</w:t>
            </w:r>
            <w:r/>
          </w:p>
        </w:tc>
      </w:tr>
    </w:tbl>
    <w:p>
      <w:pPr>
        <w:jc w:val="center"/>
        <w:spacing w:line="360" w:lineRule="auto"/>
        <w:widowControl/>
        <w:rPr>
          <w:rFonts w:ascii="宋体" w:hAnsi="宋体" w:eastAsia="宋体"/>
          <w:b/>
          <w:color w:val="auto"/>
          <w:sz w:val="24"/>
          <w:szCs w:val="24"/>
          <w:highlight w:val="none"/>
        </w:rPr>
      </w:pPr>
      <w:r>
        <w:rPr>
          <w:rFonts w:ascii="宋体" w:hAnsi="宋体" w:eastAsia="宋体"/>
          <w:b/>
          <w:color w:val="auto"/>
          <w:sz w:val="24"/>
          <w:szCs w:val="24"/>
          <w:highlight w:val="none"/>
        </w:rPr>
      </w:r>
      <w:r/>
    </w:p>
    <w:p>
      <w:pPr>
        <w:ind w:left="1024" w:right="300" w:firstLine="2640"/>
        <w:jc w:val="left"/>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right="30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供应商公章：</w:t>
      </w:r>
      <w:r/>
    </w:p>
    <w:p>
      <w:pPr>
        <w:ind w:right="300"/>
        <w:jc w:val="right"/>
        <w:spacing w:line="360" w:lineRule="auto"/>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right="-260"/>
        <w:jc w:val="right"/>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right="40"/>
        <w:spacing w:line="360" w:lineRule="auto"/>
        <w:widowControl/>
        <w:rPr>
          <w:rFonts w:ascii="宋体" w:hAnsi="Calibri" w:eastAsia="宋体" w:cs="宋体"/>
          <w:color w:val="auto"/>
          <w:sz w:val="22"/>
          <w:szCs w:val="22"/>
          <w:highlight w:val="none"/>
          <w:lang w:val="zh-CN"/>
        </w:rPr>
      </w:pPr>
      <w:r>
        <w:rPr>
          <w:rFonts w:ascii="宋体" w:hAnsi="Calibri" w:eastAsia="宋体" w:cs="宋体"/>
          <w:color w:val="auto"/>
          <w:sz w:val="22"/>
          <w:szCs w:val="22"/>
          <w:highlight w:val="none"/>
          <w:lang w:val="zh-CN"/>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jc w:val="both"/>
        <w:spacing w:line="380" w:lineRule="exact"/>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宋体"/>
          <w:b/>
          <w:color w:val="auto"/>
          <w:sz w:val="24"/>
          <w:szCs w:val="22"/>
          <w:highlight w:val="none"/>
        </w:rPr>
        <w:br w:type="page" w:clear="all"/>
      </w:r>
      <w:r>
        <w:rPr>
          <w:rFonts w:hint="eastAsia" w:ascii="宋体" w:hAnsi="宋体" w:eastAsia="宋体" w:cs="Times New Roman"/>
          <w:b/>
          <w:color w:val="auto"/>
          <w:sz w:val="24"/>
          <w:szCs w:val="24"/>
          <w:highlight w:val="none"/>
          <w:lang w:val="en-US" w:eastAsia="zh-CN" w:bidi="ar-SA"/>
        </w:rPr>
        <w:t xml:space="preserve">格式2、谈判报价分析表</w:t>
      </w:r>
      <w:r/>
    </w:p>
    <w:p>
      <w:pPr>
        <w:jc w:val="center"/>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谈判报价分析表</w:t>
      </w:r>
      <w:r/>
    </w:p>
    <w:p>
      <w:pPr>
        <w:ind w:firstLine="280"/>
        <w:jc w:val="both"/>
        <w:spacing w:line="36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pacing w:val="20"/>
          <w:sz w:val="24"/>
          <w:szCs w:val="24"/>
          <w:highlight w:val="none"/>
          <w:lang w:val="en-US" w:eastAsia="zh-CN" w:bidi="ar-SA"/>
        </w:rPr>
        <w:t xml:space="preserve">                </w:t>
      </w:r>
      <w:r>
        <w:rPr>
          <w:rFonts w:hint="eastAsia" w:ascii="宋体" w:hAnsi="宋体" w:eastAsia="宋体" w:cs="Times New Roman"/>
          <w:color w:val="auto"/>
          <w:spacing w:val="20"/>
          <w:sz w:val="24"/>
          <w:szCs w:val="24"/>
          <w:highlight w:val="none"/>
          <w:lang w:val="en-US" w:eastAsia="zh-CN" w:bidi="ar-SA"/>
        </w:rPr>
        <w:t xml:space="preserve">      </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32"/>
        <w:gridCol w:w="1387"/>
        <w:gridCol w:w="1237"/>
        <w:gridCol w:w="716"/>
        <w:gridCol w:w="715"/>
        <w:gridCol w:w="955"/>
        <w:gridCol w:w="954"/>
        <w:gridCol w:w="1093"/>
      </w:tblGrid>
      <w:tr>
        <w:trPr>
          <w:cantSplit/>
          <w:jc w:val="center"/>
          <w:trHeight w:val="595"/>
        </w:trPr>
        <w:tc>
          <w:tcPr>
            <w:tcW w:w="759"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设备名称</w:t>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品牌、型号规格</w:t>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生产厂家</w:t>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w:t>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单价（元）</w:t>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总价（元）</w:t>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交付期</w:t>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gridSpan w:val="9"/>
            <w:tcW w:w="9248" w:type="dxa"/>
            <w:vAlign w:val="center"/>
            <w:textDirection w:val="lrTb"/>
            <w:noWrap w:val="false"/>
          </w:tcPr>
          <w:p>
            <w:pPr>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总报价（人民币）：大写：</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小写：   </w:t>
            </w:r>
            <w:r/>
          </w:p>
        </w:tc>
      </w:tr>
    </w:tbl>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w:t>
      </w:r>
      <w:r>
        <w:rPr>
          <w:rFonts w:hint="eastAsia" w:hAnsi="宋体" w:eastAsia="宋体"/>
          <w:color w:val="auto"/>
          <w:sz w:val="24"/>
          <w:szCs w:val="24"/>
          <w:highlight w:val="none"/>
        </w:rPr>
        <w:t xml:space="preserve">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2.谈判报价分析表中的总报价应与</w:t>
      </w:r>
      <w:r>
        <w:rPr>
          <w:rFonts w:hint="eastAsia" w:ascii="宋体" w:hAnsi="宋体" w:eastAsia="宋体"/>
          <w:color w:val="auto"/>
          <w:sz w:val="24"/>
          <w:szCs w:val="24"/>
          <w:highlight w:val="none"/>
          <w:lang w:eastAsia="zh-CN"/>
        </w:rPr>
        <w:t xml:space="preserve">谈判报价表</w:t>
      </w:r>
      <w:r>
        <w:rPr>
          <w:rFonts w:hint="eastAsia" w:ascii="宋体" w:hAnsi="宋体" w:eastAsia="宋体"/>
          <w:color w:val="auto"/>
          <w:sz w:val="24"/>
          <w:szCs w:val="24"/>
          <w:highlight w:val="none"/>
        </w:rPr>
        <w:t xml:space="preserve">总价金额一致；否则，以</w:t>
      </w:r>
      <w:r>
        <w:rPr>
          <w:rFonts w:hint="eastAsia" w:ascii="宋体" w:hAnsi="宋体" w:eastAsia="宋体"/>
          <w:color w:val="auto"/>
          <w:sz w:val="24"/>
          <w:szCs w:val="24"/>
          <w:highlight w:val="none"/>
          <w:lang w:eastAsia="zh-CN"/>
        </w:rPr>
        <w:t xml:space="preserve">谈判报价表</w:t>
      </w:r>
      <w:r>
        <w:rPr>
          <w:rFonts w:hint="eastAsia" w:ascii="宋体" w:hAnsi="宋体" w:eastAsia="宋体"/>
          <w:color w:val="auto"/>
          <w:sz w:val="24"/>
          <w:szCs w:val="24"/>
          <w:highlight w:val="none"/>
        </w:rPr>
        <w:t xml:space="preserve">为准。</w:t>
      </w:r>
      <w:r/>
    </w:p>
    <w:p>
      <w:pPr>
        <w:ind w:firstLine="360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spacing w:line="36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w:t>
      </w:r>
      <w:r/>
    </w:p>
    <w:p>
      <w:pPr>
        <w:jc w:val="left"/>
        <w:spacing w:line="380" w:lineRule="exact"/>
        <w:widowControl w:val="off"/>
        <w:rPr>
          <w:rFonts w:hint="eastAsia" w:ascii="宋体" w:hAnsi="宋体" w:eastAsia="宋体" w:cs="Times New Roman"/>
          <w:b/>
          <w:color w:val="auto"/>
          <w:sz w:val="24"/>
          <w:szCs w:val="24"/>
          <w:highlight w:val="none"/>
          <w:lang w:val="en-US" w:eastAsia="zh-CN" w:bidi="ar-SA"/>
        </w:rPr>
      </w:pPr>
      <w:r>
        <w:rPr>
          <w:rFonts w:ascii="宋体" w:hAnsi="宋体" w:eastAsia="宋体" w:cs="Times New Roman"/>
          <w:b/>
          <w:color w:val="auto"/>
          <w:sz w:val="26"/>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格式3、谈判响应函</w:t>
      </w:r>
      <w:r/>
    </w:p>
    <w:p>
      <w:pPr>
        <w:jc w:val="center"/>
        <w:spacing w:line="380" w:lineRule="exac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谈判响应函</w:t>
      </w:r>
      <w:r/>
    </w:p>
    <w:p>
      <w:pPr>
        <w:jc w:val="both"/>
        <w:spacing w:line="38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苏州乐慧招投标咨询有限公司</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我们收到贵公司</w:t>
      </w:r>
      <w:r>
        <w:rPr>
          <w:rFonts w:hint="eastAsia" w:ascii="宋体" w:hAnsi="宋体" w:eastAsia="宋体" w:cs="Times New Roman"/>
          <w:color w:val="auto"/>
          <w:sz w:val="21"/>
          <w:szCs w:val="21"/>
          <w:highlight w:val="none"/>
          <w:u w:val="single"/>
          <w:lang w:val="en-US" w:eastAsia="zh-CN" w:bidi="ar-SA"/>
        </w:rPr>
        <w:t xml:space="preserve">JSZC-320583-LHZX-T2025-0049号</w:t>
      </w:r>
      <w:r>
        <w:rPr>
          <w:rFonts w:hint="eastAsia" w:ascii="宋体" w:hAnsi="宋体" w:eastAsia="宋体" w:cs="Times New Roman"/>
          <w:color w:val="auto"/>
          <w:sz w:val="21"/>
          <w:szCs w:val="21"/>
          <w:highlight w:val="none"/>
          <w:lang w:val="en-US" w:eastAsia="zh-CN" w:bidi="ar-SA"/>
        </w:rPr>
        <w:t xml:space="preserve">采购文件，经仔细阅读和研究，我们决定参加谈判活动。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我们愿意按照采购文件的一切要求，提供完成该项目的全部内容，我们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、如果我们的谈判响应文件被接受，我们将严格履行采购文件中规定的每一项要求，按期、按质、按量履行合同的义务。</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、我们已</w:t>
      </w:r>
      <w:r>
        <w:rPr>
          <w:rFonts w:ascii="宋体" w:hAnsi="宋体" w:eastAsia="宋体" w:cs="Times New Roman"/>
          <w:color w:val="auto"/>
          <w:sz w:val="21"/>
          <w:szCs w:val="21"/>
          <w:highlight w:val="none"/>
          <w:lang w:val="en-US" w:eastAsia="zh-CN" w:bidi="ar-SA"/>
        </w:rPr>
        <w:t xml:space="preserve">详细审查全部</w:t>
      </w:r>
      <w:r>
        <w:rPr>
          <w:rFonts w:hint="eastAsia" w:ascii="宋体" w:hAnsi="宋体" w:eastAsia="宋体" w:cs="Times New Roman"/>
          <w:color w:val="auto"/>
          <w:sz w:val="21"/>
          <w:szCs w:val="21"/>
          <w:highlight w:val="none"/>
          <w:lang w:val="en-US" w:eastAsia="zh-CN" w:bidi="ar-SA"/>
        </w:rPr>
        <w:t xml:space="preserve">采购</w:t>
      </w:r>
      <w:r>
        <w:rPr>
          <w:rFonts w:ascii="宋体" w:hAnsi="宋体" w:eastAsia="宋体" w:cs="Times New Roman"/>
          <w:color w:val="auto"/>
          <w:sz w:val="21"/>
          <w:szCs w:val="21"/>
          <w:highlight w:val="none"/>
          <w:lang w:val="en-US" w:eastAsia="zh-CN" w:bidi="ar-SA"/>
        </w:rPr>
        <w:t xml:space="preserve">文件，包括</w:t>
      </w:r>
      <w:r>
        <w:rPr>
          <w:rFonts w:hint="eastAsia" w:ascii="宋体" w:hAnsi="宋体" w:eastAsia="宋体" w:cs="Times New Roman"/>
          <w:color w:val="auto"/>
          <w:sz w:val="21"/>
          <w:szCs w:val="21"/>
          <w:highlight w:val="none"/>
          <w:lang w:val="en-US" w:eastAsia="zh-CN" w:bidi="ar-SA"/>
        </w:rPr>
        <w:t xml:space="preserve">补充文件</w:t>
      </w:r>
      <w:r>
        <w:rPr>
          <w:rFonts w:ascii="宋体" w:hAnsi="宋体" w:eastAsia="宋体" w:cs="Times New Roman"/>
          <w:color w:val="auto"/>
          <w:sz w:val="21"/>
          <w:szCs w:val="21"/>
          <w:highlight w:val="none"/>
          <w:lang w:val="en-US" w:eastAsia="zh-CN" w:bidi="ar-SA"/>
        </w:rPr>
        <w:t xml:space="preserve">(如有)。我们完全理解并同意放弃对这方面有不明及误解的权力。</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4、我们同意按采购文件中的规定，本谈判响应文件的有效期限为响应文件提交截止之日</w:t>
      </w:r>
      <w:r/>
    </w:p>
    <w:p>
      <w:pPr>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起</w:t>
      </w:r>
      <w:r>
        <w:rPr>
          <w:rFonts w:hint="eastAsia" w:ascii="宋体" w:hAnsi="宋体" w:eastAsia="宋体" w:cs="Times New Roman"/>
          <w:color w:val="auto"/>
          <w:sz w:val="21"/>
          <w:szCs w:val="21"/>
          <w:highlight w:val="none"/>
          <w:u w:val="single"/>
          <w:lang w:val="en-US" w:eastAsia="zh-CN" w:bidi="ar-SA"/>
        </w:rPr>
        <w:t xml:space="preserve">60</w:t>
      </w:r>
      <w:r>
        <w:rPr>
          <w:rFonts w:hint="eastAsia" w:ascii="宋体" w:hAnsi="宋体" w:eastAsia="宋体" w:cs="Times New Roman"/>
          <w:color w:val="auto"/>
          <w:sz w:val="21"/>
          <w:szCs w:val="21"/>
          <w:highlight w:val="none"/>
          <w:lang w:val="en-US" w:eastAsia="zh-CN" w:bidi="ar-SA"/>
        </w:rPr>
        <w:t xml:space="preserve">天。</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5、我们愿意提供谈判采购单位在采购文件中要求的所有资料。</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6、我们声明：</w:t>
      </w:r>
      <w:r>
        <w:rPr>
          <w:rFonts w:ascii="宋体" w:hAnsi="宋体" w:eastAsia="宋体" w:cs="Times New Roman"/>
          <w:color w:val="auto"/>
          <w:sz w:val="21"/>
          <w:szCs w:val="21"/>
          <w:highlight w:val="none"/>
          <w:lang w:val="en-US" w:eastAsia="zh-CN" w:bidi="ar-SA"/>
        </w:rPr>
        <w:t xml:space="preserve">我们在参加本次采购活动前</w:t>
      </w:r>
      <w:r>
        <w:rPr>
          <w:rFonts w:ascii="宋体" w:hAnsi="宋体" w:eastAsia="宋体" w:cs="Times New Roman"/>
          <w:color w:val="auto"/>
          <w:sz w:val="21"/>
          <w:szCs w:val="21"/>
          <w:highlight w:val="none"/>
          <w:u w:val="single"/>
          <w:lang w:val="en-US" w:eastAsia="zh-CN" w:bidi="ar-SA"/>
        </w:rPr>
        <w:t xml:space="preserve">3</w:t>
      </w:r>
      <w:r>
        <w:rPr>
          <w:rFonts w:ascii="宋体" w:hAnsi="宋体" w:eastAsia="宋体" w:cs="Times New Roman"/>
          <w:color w:val="auto"/>
          <w:sz w:val="21"/>
          <w:szCs w:val="21"/>
          <w:highlight w:val="none"/>
          <w:lang w:val="en-US" w:eastAsia="zh-CN" w:bidi="ar-SA"/>
        </w:rPr>
        <w:t xml:space="preserve">年内在经营活动中没有重大违法记录</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7、我们愿意遵守采购文件中所列的收费标准。</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8、我们承诺该谈判响应文件在谈判开始后的全过程中保持有效，不作任何更改和变动。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9、我们承诺我公司符合谈判文件谈判供应商须知中“合格谈判供应商的条件”的要求，若与真实情况不符，本公司愿意承担由此而产生的一切后果。</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10、如果我们成交，我们愿意在领取成交通知书时按采购文件的规定支付代理服务费；</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11、综合说明：</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）伴随服务及配合措施；（</w:t>
      </w: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）要求甲方提供的配合；</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）对采购文件有不同意见的偏离说明；（</w:t>
      </w:r>
      <w:r>
        <w:rPr>
          <w:rFonts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）其它说明。</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所有有关谈判文件的函电，请按下列地址联系：</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单位： </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联系人：</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u w:val="single"/>
          <w:lang w:val="en-US" w:eastAsia="zh-CN" w:bidi="ar-SA"/>
        </w:rPr>
        <w:t xml:space="preserve">    </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地址：</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邮政编码：</w:t>
      </w:r>
      <w:r>
        <w:rPr>
          <w:rFonts w:ascii="宋体" w:hAnsi="宋体" w:eastAsia="宋体" w:cs="Times New Roman"/>
          <w:color w:val="auto"/>
          <w:sz w:val="21"/>
          <w:szCs w:val="21"/>
          <w:highlight w:val="none"/>
          <w:u w:val="single"/>
          <w:lang w:val="en-US" w:eastAsia="zh-CN" w:bidi="ar-SA"/>
        </w:rPr>
        <w:t xml:space="preserve">                 </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联系电话：</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传真：</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p>
    <w:p>
      <w:pPr>
        <w:ind w:left="3400" w:firstLine="4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供应商：（单位盖章）</w:t>
      </w:r>
      <w:r/>
    </w:p>
    <w:p>
      <w:pPr>
        <w:ind w:left="38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left="3400" w:firstLine="4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hAnsi="宋体" w:eastAsia="宋体"/>
          <w:b/>
          <w:color w:val="auto"/>
          <w:sz w:val="21"/>
          <w:szCs w:val="21"/>
          <w:highlight w:val="none"/>
        </w:rPr>
        <w:br w:type="page" w:clear="all"/>
      </w:r>
      <w:r>
        <w:rPr>
          <w:rFonts w:hint="eastAsia" w:ascii="宋体" w:hAnsi="宋体" w:eastAsia="宋体" w:cs="Times New Roman"/>
          <w:b/>
          <w:color w:val="auto"/>
          <w:sz w:val="24"/>
          <w:szCs w:val="24"/>
          <w:highlight w:val="none"/>
          <w:lang w:val="en-US" w:eastAsia="zh-CN" w:bidi="ar-SA"/>
        </w:rPr>
        <w:t xml:space="preserve">格式4、关于资格文件的声明函</w:t>
      </w:r>
      <w:r/>
    </w:p>
    <w:p>
      <w:pPr>
        <w:ind w:firstLine="0"/>
        <w:jc w:val="left"/>
        <w:widowControl w:val="off"/>
        <w:tabs>
          <w:tab w:val="left" w:pos="1950" w:leader="none"/>
        </w:tabs>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tab/>
      </w:r>
      <w:r/>
    </w:p>
    <w:p>
      <w:pPr>
        <w:ind w:firstLine="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center"/>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关于资格文件的声明函</w:t>
      </w:r>
      <w:r/>
    </w:p>
    <w:p>
      <w:pPr>
        <w:ind w:firstLine="420"/>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本公司愿就由贵公司组织实施的编号为</w:t>
      </w:r>
      <w:r>
        <w:rPr>
          <w:rFonts w:hint="eastAsia" w:ascii="宋体" w:hAnsi="宋体" w:eastAsia="宋体"/>
          <w:color w:val="auto"/>
          <w:sz w:val="24"/>
          <w:szCs w:val="24"/>
          <w:highlight w:val="none"/>
          <w:u w:val="single"/>
          <w:lang w:eastAsia="zh-CN"/>
        </w:rPr>
        <w:t xml:space="preserve">JSZC-320583-LHZX-T2025-0049</w:t>
      </w:r>
      <w:r>
        <w:rPr>
          <w:rFonts w:hint="eastAsia" w:ascii="宋体" w:hAnsi="宋体" w:eastAsia="宋体"/>
          <w:color w:val="auto"/>
          <w:sz w:val="24"/>
          <w:szCs w:val="24"/>
          <w:highlight w:val="none"/>
        </w:rPr>
        <w:t xml:space="preserve">号的谈判采购活动进行响应。本公司所提交的响应文件中所有关于响应资格的文件、证明和陈述均是真实的、准确的。若与真实情况不符，本公司愿意承担由此而产生的一切后果。</w:t>
      </w:r>
      <w:r/>
    </w:p>
    <w:p>
      <w:pPr>
        <w:ind w:firstLine="48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格式5、谈判响应单位情况表</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b/>
          <w:color w:val="auto"/>
          <w:sz w:val="24"/>
          <w:szCs w:val="24"/>
          <w:highlight w:val="none"/>
          <w:lang w:val="en-US" w:eastAsia="zh-CN" w:bidi="ar-SA"/>
        </w:rPr>
        <w:t xml:space="preserve">谈判响应单位情况表</w:t>
      </w:r>
      <w:r/>
    </w:p>
    <w:p>
      <w:pPr>
        <w:ind w:firstLine="420"/>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单位名称（盖章）</w:t>
      </w:r>
      <w:r/>
    </w:p>
    <w:tbl>
      <w:tblPr>
        <w:tblStyle w:val="891"/>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left"/>
        <w:widowControl/>
        <w:rPr>
          <w:rFonts w:hint="eastAsia" w:ascii="宋体" w:hAnsi="宋体" w:eastAsia="宋体"/>
          <w:b/>
          <w:color w:val="auto"/>
          <w:sz w:val="24"/>
          <w:szCs w:val="24"/>
          <w:highlight w:val="none"/>
        </w:rPr>
      </w:pPr>
      <w:r>
        <w:rPr>
          <w:rFonts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、法定代表人授权委托书</w:t>
      </w:r>
      <w:r/>
    </w:p>
    <w:p>
      <w:pPr>
        <w:ind w:firstLine="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center"/>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法定代表人授权委托书</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（响应单位名称）的法定代表人，现授权委托</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w:t>
      </w:r>
      <w:r>
        <w:rPr>
          <w:rFonts w:hint="eastAsia" w:ascii="宋体" w:hAnsi="宋体" w:eastAsia="宋体"/>
          <w:color w:val="auto"/>
          <w:sz w:val="24"/>
          <w:szCs w:val="24"/>
          <w:highlight w:val="none"/>
          <w:lang w:val="en-US" w:eastAsia="zh-CN"/>
        </w:rPr>
        <w:t xml:space="preserve">+身份证号码</w:t>
      </w:r>
      <w:r>
        <w:rPr>
          <w:rFonts w:hint="eastAsia" w:ascii="宋体" w:hAnsi="宋体" w:eastAsia="宋体"/>
          <w:color w:val="auto"/>
          <w:sz w:val="24"/>
          <w:szCs w:val="24"/>
          <w:highlight w:val="none"/>
        </w:rPr>
        <w:t xml:space="preserve">）为我公司代理人，以本公司的名义参加苏州乐慧招投标咨询有限公司组织实施的编号为</w:t>
      </w:r>
      <w:r>
        <w:rPr>
          <w:rFonts w:hint="eastAsia" w:ascii="宋体" w:hAnsi="宋体" w:eastAsia="宋体" w:cs="Times New Roman"/>
          <w:color w:val="auto"/>
          <w:sz w:val="24"/>
          <w:szCs w:val="24"/>
          <w:highlight w:val="none"/>
          <w:lang w:val="en-US" w:eastAsia="zh-CN" w:bidi="ar-SA"/>
        </w:rPr>
        <w:t xml:space="preserve">JSZC-320583-LHZX-T2025-0049</w:t>
      </w:r>
      <w:r>
        <w:rPr>
          <w:rFonts w:hint="eastAsia" w:ascii="宋体" w:hAnsi="宋体" w:eastAsia="宋体"/>
          <w:color w:val="auto"/>
          <w:sz w:val="24"/>
          <w:szCs w:val="24"/>
          <w:highlight w:val="none"/>
        </w:rPr>
        <w:t xml:space="preserve">号的谈判邀请活动。代理人在谈判活动过程中所签署的一切文件和处理与这有关的一切事务，我均予以承认。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代理人：（签字或盖章）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left"/>
        <w:widowControl/>
        <w:rPr>
          <w:rFonts w:ascii="宋体" w:hAnsi="宋体" w:eastAsia="宋体"/>
          <w:b/>
          <w:color w:val="auto"/>
          <w:sz w:val="24"/>
          <w:szCs w:val="24"/>
          <w:highlight w:val="none"/>
        </w:rPr>
      </w:pPr>
      <w:r>
        <w:rPr>
          <w:rFonts w:ascii="宋体" w:hAnsi="宋体" w:eastAsia="宋体" w:cs="Times New Roman"/>
          <w:color w:val="auto"/>
          <w:sz w:val="26"/>
          <w:highlight w:val="none"/>
          <w:lang w:val="en-US" w:eastAsia="zh-CN" w:bidi="ar-SA"/>
        </w:rPr>
        <w:br w:type="page" w:clear="all"/>
      </w: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、商务条款偏离表</w:t>
      </w:r>
      <w:r/>
    </w:p>
    <w:p>
      <w:pPr>
        <w:jc w:val="left"/>
        <w:spacing w:line="360" w:lineRule="auto"/>
        <w:rPr>
          <w:rFonts w:ascii="宋体" w:hAnsi="宋体" w:eastAsia="宋体"/>
          <w:b/>
          <w:color w:val="auto"/>
          <w:szCs w:val="24"/>
          <w:highlight w:val="none"/>
        </w:rPr>
      </w:pPr>
      <w:r>
        <w:rPr>
          <w:rFonts w:ascii="宋体" w:hAnsi="宋体" w:eastAsia="宋体"/>
          <w:b/>
          <w:color w:val="auto"/>
          <w:sz w:val="24"/>
          <w:szCs w:val="24"/>
          <w:highlight w:val="none"/>
        </w:rPr>
        <w:t xml:space="preserve"> </w:t>
      </w:r>
      <w:r/>
    </w:p>
    <w:p>
      <w:pPr>
        <w:ind w:firstLine="0"/>
        <w:jc w:val="center"/>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商务条款偏离表</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83"/>
        <w:gridCol w:w="2604"/>
        <w:gridCol w:w="2604"/>
        <w:gridCol w:w="1189"/>
      </w:tblGrid>
      <w:tr>
        <w:trPr>
          <w:jc w:val="center"/>
        </w:trPr>
        <w:tc>
          <w:tcPr>
            <w:tcW w:w="768"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2083"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采购文件条目号</w:t>
            </w:r>
            <w:r/>
          </w:p>
        </w:tc>
        <w:tc>
          <w:tcPr>
            <w:tcW w:w="2604"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采购文件的商务条款</w:t>
            </w:r>
            <w:r/>
          </w:p>
        </w:tc>
        <w:tc>
          <w:tcPr>
            <w:tcW w:w="2604"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响应文件的商务条款</w:t>
            </w:r>
            <w:r/>
          </w:p>
        </w:tc>
        <w:tc>
          <w:tcPr>
            <w:tcW w:w="1189"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w:t>
      </w:r>
      <w:r/>
    </w:p>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响应的物关于商务条款等详细描述和说明的替代。</w:t>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格式8、售后服务承诺书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格式9、技术要求偏离表</w:t>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技术要求偏离表</w:t>
      </w:r>
      <w:r/>
    </w:p>
    <w:p>
      <w:pPr>
        <w:jc w:val="center"/>
        <w:rPr>
          <w:rFonts w:ascii="宋体" w:hAnsi="宋体" w:eastAsia="宋体"/>
          <w:b/>
          <w:color w:val="auto"/>
          <w:sz w:val="24"/>
          <w:szCs w:val="24"/>
          <w:highlight w:val="none"/>
          <w:lang w:val="zh-CN"/>
        </w:rPr>
      </w:pPr>
      <w:r>
        <w:rPr>
          <w:rFonts w:ascii="宋体" w:hAnsi="宋体" w:eastAsia="宋体"/>
          <w:b/>
          <w:color w:val="auto"/>
          <w:sz w:val="24"/>
          <w:szCs w:val="24"/>
          <w:highlight w:val="none"/>
          <w:lang w:val="zh-CN"/>
        </w:rPr>
      </w:r>
      <w:r/>
    </w:p>
    <w:p>
      <w:pPr>
        <w:ind w:firstLine="36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单位名称（盖章）：</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820"/>
        <w:gridCol w:w="1639"/>
        <w:gridCol w:w="1456"/>
        <w:gridCol w:w="1718"/>
        <w:gridCol w:w="1777"/>
      </w:tblGrid>
      <w:tr>
        <w:trPr>
          <w:jc w:val="center"/>
        </w:trPr>
        <w:tc>
          <w:tcPr>
            <w:tcW w:w="838" w:type="dxa"/>
            <w:vAlign w:val="center"/>
            <w:textDirection w:val="lrTb"/>
            <w:noWrap w:val="false"/>
          </w:tcPr>
          <w:p>
            <w:pPr>
              <w:jc w:val="center"/>
              <w:spacing w:before="240" w:after="24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182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货物名称</w:t>
            </w:r>
            <w:r/>
          </w:p>
        </w:tc>
        <w:tc>
          <w:tcPr>
            <w:tcW w:w="1639"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采购要求</w:t>
            </w:r>
            <w:r/>
          </w:p>
        </w:tc>
        <w:tc>
          <w:tcPr>
            <w:tcW w:w="1456"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响应要求</w:t>
            </w:r>
            <w:r/>
          </w:p>
        </w:tc>
        <w:tc>
          <w:tcPr>
            <w:tcW w:w="1718"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偏离</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响应</w:t>
            </w:r>
            <w:r/>
          </w:p>
        </w:tc>
        <w:tc>
          <w:tcPr>
            <w:tcW w:w="1777"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说明</w:t>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注：供应商应对照谈判采购文件技术要求等，所响应的物与谈判采购文件的规定有偏离的，应在此表中声明与技术要求条文的偏差和例外。</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格式10</w:t>
      </w:r>
      <w:r>
        <w:rPr>
          <w:rFonts w:hint="eastAsia" w:ascii="宋体" w:hAnsi="宋体" w:eastAsia="宋体" w:cs="Times New Roman"/>
          <w:b/>
          <w:color w:val="auto"/>
          <w:sz w:val="24"/>
          <w:highlight w:val="none"/>
          <w:lang w:val="en-US" w:eastAsia="zh-CN" w:bidi="ar-SA"/>
        </w:rPr>
        <w:t xml:space="preserve">、响应货物和服务数量、品牌型号、技术要求、付款方式、交货期</w:t>
      </w:r>
      <w:r/>
    </w:p>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center"/>
        <w:spacing w:line="360" w:lineRule="auto"/>
        <w:widowControl w:val="off"/>
        <w:rPr>
          <w:rFonts w:ascii="宋体" w:hAnsi="宋体" w:eastAsia="宋体" w:cs="Times New Roman"/>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响应货物和服务数量、品牌型号、技术要求、付款方式、交货期</w:t>
      </w:r>
      <w:r/>
    </w:p>
    <w:tbl>
      <w:tblPr>
        <w:tblStyle w:val="89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494"/>
        <w:gridCol w:w="1740"/>
        <w:gridCol w:w="1088"/>
        <w:gridCol w:w="1085"/>
        <w:gridCol w:w="1085"/>
        <w:gridCol w:w="929"/>
        <w:gridCol w:w="927"/>
      </w:tblGrid>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序号</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标的物名称</w:t>
            </w:r>
            <w:r/>
          </w:p>
        </w:tc>
        <w:tc>
          <w:tcPr>
            <w:tcBorders>
              <w:bottom w:val="single" w:color="auto" w:sz="4" w:space="0"/>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生产厂家及品牌型号</w:t>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采购技术要求</w:t>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响应技术要求</w:t>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数量</w:t>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付款方式</w:t>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交货期</w:t>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4" w:space="0"/>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bl>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应对照</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文件技术规格，逐条说明所提供货物和服务已对</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文件的技术要求做出了实质性的响应，并申明与技术要求条文的偏差和例外。特别对有具体参数要求的指标，</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必须提供所投设备的具体参数值。未在上表中说明的，将被认为完全响应</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文件的规定。</w:t>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highlight w:val="none"/>
          <w:lang w:val="en-US" w:eastAsia="zh-CN" w:bidi="ar-SA"/>
        </w:rPr>
      </w:pPr>
      <w:r>
        <w:rPr>
          <w:rFonts w:ascii="宋体" w:hAnsi="宋体" w:eastAsia="宋体" w:cs="Times New Roman"/>
          <w:b/>
          <w:color w:val="auto"/>
          <w:sz w:val="24"/>
          <w:highlight w:val="none"/>
          <w:lang w:val="en-US" w:eastAsia="zh-CN" w:bidi="ar-SA"/>
        </w:rPr>
      </w:r>
      <w:r/>
    </w:p>
    <w:p>
      <w:pPr>
        <w:ind w:firstLine="0"/>
        <w:jc w:val="both"/>
        <w:spacing w:line="360" w:lineRule="auto"/>
        <w:widowControl w:val="off"/>
        <w:rPr>
          <w:rFonts w:ascii="宋体" w:hAnsi="宋体" w:eastAsia="宋体" w:cs="Times New Roman"/>
          <w:b/>
          <w:color w:val="auto"/>
          <w:sz w:val="24"/>
          <w:highlight w:val="none"/>
          <w:lang w:val="en-US" w:eastAsia="zh-CN" w:bidi="ar-SA"/>
        </w:rPr>
        <w:outlineLvl w:val="1"/>
      </w:pPr>
      <w:r>
        <w:rPr>
          <w:rFonts w:ascii="宋体" w:hAnsi="宋体" w:eastAsia="宋体" w:cs="Times New Roman"/>
          <w:b/>
          <w:color w:val="auto"/>
          <w:sz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格式11</w:t>
      </w:r>
      <w:r>
        <w:rPr>
          <w:rFonts w:hint="eastAsia" w:ascii="宋体" w:hAnsi="宋体" w:eastAsia="宋体" w:cs="Times New Roman"/>
          <w:b/>
          <w:color w:val="auto"/>
          <w:sz w:val="24"/>
          <w:szCs w:val="22"/>
          <w:highlight w:val="none"/>
          <w:lang w:val="en-US" w:eastAsia="zh-CN" w:bidi="ar-SA"/>
        </w:rPr>
        <w:t xml:space="preserve">、产品质量验收标准及质量承诺</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before="25" w:after="25" w:line="360" w:lineRule="auto"/>
        <w:rPr>
          <w:rFonts w:ascii="宋体" w:hAnsi="宋体" w:eastAsia="宋体"/>
          <w:b/>
          <w:bCs/>
          <w:color w:val="auto"/>
          <w:sz w:val="24"/>
          <w:highlight w:val="none"/>
        </w:rPr>
      </w:pPr>
      <w:r>
        <w:rPr>
          <w:rFonts w:ascii="宋体" w:hAnsi="宋体" w:eastAsia="宋体"/>
          <w:b/>
          <w:color w:val="auto"/>
          <w:sz w:val="24"/>
          <w:highlight w:val="none"/>
        </w:rPr>
        <w:t xml:space="preserve">产品质量验收标准</w:t>
      </w:r>
      <w:r>
        <w:rPr>
          <w:rFonts w:hint="eastAsia" w:ascii="宋体" w:hAnsi="宋体" w:eastAsia="宋体"/>
          <w:b/>
          <w:color w:val="auto"/>
          <w:sz w:val="24"/>
          <w:highlight w:val="none"/>
        </w:rPr>
        <w:t xml:space="preserve">及</w:t>
      </w:r>
      <w:r>
        <w:rPr>
          <w:rFonts w:ascii="宋体" w:hAnsi="宋体" w:eastAsia="宋体"/>
          <w:b/>
          <w:color w:val="auto"/>
          <w:sz w:val="24"/>
          <w:highlight w:val="none"/>
        </w:rPr>
        <w:t xml:space="preserve">质量</w:t>
      </w:r>
      <w:r>
        <w:rPr>
          <w:rFonts w:hint="eastAsia" w:ascii="宋体" w:hAnsi="宋体" w:eastAsia="宋体"/>
          <w:b/>
          <w:color w:val="auto"/>
          <w:sz w:val="24"/>
          <w:highlight w:val="none"/>
        </w:rPr>
        <w:t xml:space="preserve">承诺</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jc w:val="center"/>
          <w:trHeight w:val="1076"/>
        </w:trPr>
        <w:tc>
          <w:tcPr>
            <w:tcW w:w="9042" w:type="dxa"/>
            <w:vAlign w:val="top"/>
            <w:textDirection w:val="lrTb"/>
            <w:noWrap w:val="false"/>
          </w:tcPr>
          <w:p>
            <w:pPr>
              <w:ind w:firstLine="0"/>
              <w:jc w:val="left"/>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提示：</w:t>
            </w:r>
            <w:r/>
          </w:p>
          <w:p>
            <w:pPr>
              <w:ind w:firstLine="0"/>
              <w:jc w:val="left"/>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谈判供应商应根据本次采购项目要求，对所投货物和服务的</w:t>
            </w:r>
            <w:r>
              <w:rPr>
                <w:rFonts w:ascii="宋体" w:hAnsi="宋体" w:eastAsia="宋体" w:cs="Times New Roman"/>
                <w:bCs/>
                <w:color w:val="auto"/>
                <w:sz w:val="24"/>
                <w:szCs w:val="24"/>
                <w:highlight w:val="none"/>
                <w:lang w:val="en-US" w:eastAsia="zh-CN" w:bidi="ar-SA"/>
              </w:rPr>
              <w:t xml:space="preserve">产品质量验收标准</w:t>
            </w:r>
            <w:r>
              <w:rPr>
                <w:rFonts w:hint="eastAsia" w:ascii="宋体" w:hAnsi="宋体" w:eastAsia="宋体" w:cs="Times New Roman"/>
                <w:bCs/>
                <w:color w:val="auto"/>
                <w:sz w:val="24"/>
                <w:szCs w:val="24"/>
                <w:highlight w:val="none"/>
                <w:lang w:val="en-US" w:eastAsia="zh-CN" w:bidi="ar-SA"/>
              </w:rPr>
              <w:t xml:space="preserve">及</w:t>
            </w:r>
            <w:r>
              <w:rPr>
                <w:rFonts w:ascii="宋体" w:hAnsi="宋体" w:eastAsia="宋体" w:cs="Times New Roman"/>
                <w:bCs/>
                <w:color w:val="auto"/>
                <w:sz w:val="24"/>
                <w:szCs w:val="24"/>
                <w:highlight w:val="none"/>
                <w:lang w:val="en-US" w:eastAsia="zh-CN" w:bidi="ar-SA"/>
              </w:rPr>
              <w:t xml:space="preserve">质量</w:t>
            </w:r>
            <w:r>
              <w:rPr>
                <w:rFonts w:hint="eastAsia" w:ascii="宋体" w:hAnsi="宋体" w:eastAsia="宋体" w:cs="Times New Roman"/>
                <w:bCs/>
                <w:color w:val="auto"/>
                <w:sz w:val="24"/>
                <w:szCs w:val="24"/>
                <w:highlight w:val="none"/>
                <w:lang w:val="en-US" w:eastAsia="zh-CN" w:bidi="ar-SA"/>
              </w:rPr>
              <w:t xml:space="preserve">承诺进行详细的说明与描述。</w:t>
            </w:r>
            <w:r/>
          </w:p>
        </w:tc>
      </w:tr>
      <w:tr>
        <w:trPr>
          <w:jc w:val="center"/>
          <w:trHeight w:val="10932"/>
        </w:trPr>
        <w:tc>
          <w:tcPr>
            <w:tcW w:w="9042" w:type="dxa"/>
            <w:vAlign w:val="bottom"/>
            <w:textDirection w:val="lrTb"/>
            <w:noWrap w:val="false"/>
          </w:tcPr>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210"/>
              <w:jc w:val="center"/>
              <w:spacing w:line="360" w:lineRule="auto"/>
              <w:tabs>
                <w:tab w:val="left" w:pos="1320" w:leader="none"/>
              </w:tabs>
              <w:rPr>
                <w:rFonts w:ascii="宋体" w:hAnsi="宋体" w:eastAsia="宋体"/>
                <w:color w:val="auto"/>
                <w:sz w:val="21"/>
                <w:szCs w:val="21"/>
                <w:highlight w:val="none"/>
                <w:u w:val="single"/>
              </w:rPr>
            </w:pPr>
            <w:r>
              <w:rPr>
                <w:rFonts w:ascii="宋体" w:hAnsi="宋体" w:eastAsia="宋体"/>
                <w:color w:val="auto"/>
                <w:sz w:val="21"/>
                <w:szCs w:val="21"/>
                <w:highlight w:val="none"/>
                <w:u w:val="single"/>
              </w:rPr>
            </w:r>
            <w:r/>
          </w:p>
          <w:p>
            <w:pPr>
              <w:spacing w:line="360" w:lineRule="auto"/>
              <w:tabs>
                <w:tab w:val="left" w:pos="1320" w:leader="none"/>
              </w:tabs>
              <w:rPr>
                <w:rFonts w:ascii="宋体" w:hAnsi="宋体" w:eastAsia="宋体"/>
                <w:color w:val="auto"/>
                <w:sz w:val="21"/>
                <w:szCs w:val="21"/>
                <w:highlight w:val="none"/>
                <w:u w:val="single"/>
              </w:rPr>
            </w:pPr>
            <w:r>
              <w:rPr>
                <w:rFonts w:ascii="宋体" w:hAnsi="宋体" w:eastAsia="宋体"/>
                <w:color w:val="auto"/>
                <w:sz w:val="21"/>
                <w:szCs w:val="21"/>
                <w:highlight w:val="none"/>
                <w:u w:val="single"/>
              </w:rPr>
            </w:r>
            <w:r/>
          </w:p>
        </w:tc>
      </w:tr>
    </w:tbl>
    <w:p>
      <w:pPr>
        <w:rPr>
          <w:rFonts w:ascii="宋体" w:hAnsi="宋体" w:eastAsia="宋体"/>
          <w:bCs/>
          <w:color w:val="auto"/>
          <w:sz w:val="24"/>
          <w:highlight w:val="none"/>
        </w:rPr>
      </w:pPr>
      <w:r>
        <w:rPr>
          <w:rFonts w:ascii="宋体" w:hAnsi="宋体" w:eastAsia="宋体"/>
          <w:bCs/>
          <w:color w:val="auto"/>
          <w:sz w:val="24"/>
          <w:highlight w:val="none"/>
        </w:rPr>
        <w:br w:type="page" w:clear="all"/>
      </w:r>
      <w:r/>
    </w:p>
    <w:p>
      <w:pPr>
        <w:pStyle w:val="922"/>
        <w:ind w:left="0" w:firstLine="0"/>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格式12、</w:t>
      </w:r>
      <w:r>
        <w:rPr>
          <w:rFonts w:hint="eastAsia" w:ascii="宋体" w:hAnsi="宋体" w:eastAsia="宋体" w:cs="宋体"/>
          <w:color w:val="auto"/>
          <w:sz w:val="24"/>
          <w:szCs w:val="22"/>
          <w:highlight w:val="none"/>
          <w:lang w:val="zh-CN" w:eastAsia="zh-CN"/>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89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89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br w:type="page" w:clear="all"/>
      </w:r>
      <w:r/>
    </w:p>
    <w:p>
      <w:pPr>
        <w:jc w:val="left"/>
        <w:widowControl/>
        <w:rPr>
          <w:rFonts w:ascii="宋体" w:hAnsi="宋体" w:eastAsia="宋体"/>
          <w:b/>
          <w:color w:val="auto"/>
          <w:szCs w:val="24"/>
          <w:highlight w:val="none"/>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13</w:t>
      </w:r>
      <w:r>
        <w:rPr>
          <w:rFonts w:hint="eastAsia" w:ascii="宋体" w:hAnsi="宋体" w:eastAsia="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r>
      <w:r/>
    </w:p>
    <w:p>
      <w:pPr>
        <w:jc w:val="center"/>
        <w:spacing w:line="360" w:lineRule="auto"/>
        <w:rPr>
          <w:rFonts w:ascii="宋体" w:hAnsi="宋体"/>
          <w:b/>
          <w:color w:val="auto"/>
          <w:spacing w:val="6"/>
          <w:highlight w:val="none"/>
        </w:rPr>
      </w:pPr>
      <w:r>
        <w:rPr>
          <w:rFonts w:hint="eastAsia" w:ascii="宋体" w:hAnsi="宋体" w:eastAsia="宋体"/>
          <w:b/>
          <w:color w:val="auto"/>
          <w:szCs w:val="24"/>
          <w:highlight w:val="none"/>
        </w:rPr>
        <w:t xml:space="preserve">中小企业声明函（货物）</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lang w:val="zh-CN"/>
        </w:rPr>
        <w:t xml:space="preserve">本公司（联合体）郑重声明，根据《政府采购促进中小企业发展管理办法》（财库﹝2020﹞46 号）的规定，本公司（联合体）参加</w:t>
      </w:r>
      <w:r>
        <w:rPr>
          <w:rFonts w:ascii="宋体" w:hAnsi="宋体" w:eastAsia="宋体"/>
          <w:color w:val="auto"/>
          <w:sz w:val="24"/>
          <w:szCs w:val="24"/>
          <w:highlight w:val="none"/>
          <w:u w:val="single"/>
          <w:lang w:val="zh-CN"/>
        </w:rPr>
        <w:t xml:space="preserve">（单位名称）</w:t>
      </w:r>
      <w:r>
        <w:rPr>
          <w:rFonts w:ascii="宋体" w:hAnsi="宋体" w:eastAsia="宋体"/>
          <w:color w:val="auto"/>
          <w:sz w:val="24"/>
          <w:szCs w:val="24"/>
          <w:highlight w:val="none"/>
          <w:lang w:val="zh-CN"/>
        </w:rPr>
        <w:t xml:space="preserve">的</w:t>
      </w:r>
      <w:r>
        <w:rPr>
          <w:rFonts w:hint="eastAsia" w:ascii="宋体" w:hAnsi="宋体" w:eastAsia="宋体"/>
          <w:bCs/>
          <w:color w:val="auto"/>
          <w:sz w:val="24"/>
          <w:szCs w:val="24"/>
          <w:highlight w:val="none"/>
          <w:u w:val="single"/>
        </w:rPr>
        <w:t xml:space="preserve">（项目名称）</w:t>
      </w:r>
      <w:r>
        <w:rPr>
          <w:rFonts w:ascii="宋体" w:hAnsi="宋体" w:eastAsia="宋体"/>
          <w:color w:val="auto"/>
          <w:sz w:val="24"/>
          <w:szCs w:val="24"/>
          <w:highlight w:val="none"/>
          <w:lang w:val="zh-CN"/>
        </w:rPr>
        <w:t xml:space="preserve">采购活动，</w:t>
      </w:r>
      <w:r>
        <w:rPr>
          <w:rFonts w:hint="eastAsia" w:ascii="宋体" w:hAnsi="宋体" w:eastAsia="宋体"/>
          <w:color w:val="auto"/>
          <w:sz w:val="24"/>
          <w:szCs w:val="24"/>
          <w:highlight w:val="none"/>
        </w:rPr>
        <w:t xml:space="preserve">提供的货物全部由符合政策要求的中小企业制造。</w:t>
      </w:r>
      <w:r>
        <w:rPr>
          <w:rFonts w:ascii="宋体" w:hAnsi="宋体" w:eastAsia="宋体"/>
          <w:color w:val="auto"/>
          <w:sz w:val="24"/>
          <w:szCs w:val="24"/>
          <w:highlight w:val="none"/>
          <w:lang w:val="zh-CN"/>
        </w:rPr>
        <w:t xml:space="preserve">相关企业（含联合体中的中小企业、签订分包意向协议的中小企业）的具体情况如下：</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 </w:t>
      </w:r>
      <w:r>
        <w:rPr>
          <w:rFonts w:ascii="宋体" w:hAnsi="宋体" w:eastAsia="宋体"/>
          <w:color w:val="auto"/>
          <w:sz w:val="24"/>
          <w:szCs w:val="24"/>
          <w:highlight w:val="none"/>
          <w:u w:val="single"/>
          <w:lang w:val="zh-CN"/>
        </w:rPr>
        <w:t xml:space="preserve">（标的名称）</w:t>
      </w:r>
      <w:r>
        <w:rPr>
          <w:rFonts w:ascii="宋体" w:hAnsi="宋体" w:eastAsia="宋体"/>
          <w:color w:val="auto"/>
          <w:sz w:val="24"/>
          <w:szCs w:val="24"/>
          <w:highlight w:val="none"/>
          <w:lang w:val="zh-CN"/>
        </w:rPr>
        <w:t xml:space="preserve">，属于</w:t>
      </w:r>
      <w:r>
        <w:rPr>
          <w:rFonts w:hint="eastAsia" w:ascii="宋体" w:hAnsi="宋体" w:eastAsia="宋体"/>
          <w:color w:val="auto"/>
          <w:sz w:val="24"/>
          <w:szCs w:val="24"/>
          <w:highlight w:val="none"/>
          <w:u w:val="single"/>
          <w:lang w:val="zh-CN"/>
        </w:rPr>
        <w:t xml:space="preserve"> 工业 </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制造商</w:t>
      </w:r>
      <w:r>
        <w:rPr>
          <w:rFonts w:ascii="宋体" w:hAnsi="宋体" w:eastAsia="宋体"/>
          <w:color w:val="auto"/>
          <w:sz w:val="24"/>
          <w:szCs w:val="24"/>
          <w:highlight w:val="none"/>
          <w:lang w:val="zh-CN"/>
        </w:rPr>
        <w:t xml:space="preserve">为</w:t>
      </w:r>
      <w:r>
        <w:rPr>
          <w:rFonts w:ascii="宋体" w:hAnsi="宋体" w:eastAsia="宋体"/>
          <w:color w:val="auto"/>
          <w:sz w:val="24"/>
          <w:szCs w:val="24"/>
          <w:highlight w:val="none"/>
          <w:u w:val="single"/>
          <w:lang w:val="zh-CN"/>
        </w:rPr>
        <w:t xml:space="preserve">（企业名称）</w:t>
      </w:r>
      <w:r>
        <w:rPr>
          <w:rFonts w:ascii="宋体" w:hAnsi="宋体" w:eastAsia="宋体"/>
          <w:color w:val="auto"/>
          <w:sz w:val="24"/>
          <w:szCs w:val="24"/>
          <w:highlight w:val="none"/>
          <w:lang w:val="zh-CN"/>
        </w:rPr>
        <w:t xml:space="preserve">，从业人员</w:t>
      </w:r>
      <w:r>
        <w:rPr>
          <w:rFonts w:hint="eastAsia"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人，营业收入为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万元，资产总额为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万元，属于</w:t>
      </w:r>
      <w:r>
        <w:rPr>
          <w:rFonts w:ascii="宋体" w:hAnsi="宋体" w:eastAsia="宋体"/>
          <w:color w:val="auto"/>
          <w:sz w:val="24"/>
          <w:szCs w:val="24"/>
          <w:highlight w:val="none"/>
          <w:u w:val="single"/>
          <w:lang w:val="zh-CN"/>
        </w:rPr>
        <w:t xml:space="preserve">（中型企业、小型企业、微型企业</w:t>
      </w:r>
      <w:r>
        <w:rPr>
          <w:rFonts w:hint="eastAsia" w:ascii="宋体" w:hAnsi="宋体" w:eastAsia="宋体"/>
          <w:color w:val="auto"/>
          <w:sz w:val="24"/>
          <w:szCs w:val="24"/>
          <w:highlight w:val="none"/>
          <w:u w:val="single"/>
          <w:lang w:val="zh-CN"/>
        </w:rPr>
        <w:t xml:space="preserve">，三者选一填写</w:t>
      </w:r>
      <w:r>
        <w:rPr>
          <w:rFonts w:ascii="宋体" w:hAnsi="宋体" w:eastAsia="宋体"/>
          <w:color w:val="auto"/>
          <w:sz w:val="24"/>
          <w:szCs w:val="24"/>
          <w:highlight w:val="none"/>
          <w:u w:val="single"/>
          <w:lang w:val="zh-CN"/>
        </w:rPr>
        <w:t xml:space="preserve">）</w:t>
      </w: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 </w:t>
      </w:r>
      <w:r>
        <w:rPr>
          <w:rFonts w:ascii="宋体" w:hAnsi="宋体" w:eastAsia="宋体"/>
          <w:color w:val="auto"/>
          <w:sz w:val="24"/>
          <w:szCs w:val="24"/>
          <w:highlight w:val="none"/>
          <w:u w:val="single"/>
          <w:lang w:val="zh-CN"/>
        </w:rPr>
        <w:t xml:space="preserve">（标的名称）</w:t>
      </w:r>
      <w:r>
        <w:rPr>
          <w:rFonts w:ascii="宋体" w:hAnsi="宋体" w:eastAsia="宋体"/>
          <w:color w:val="auto"/>
          <w:sz w:val="24"/>
          <w:szCs w:val="24"/>
          <w:highlight w:val="none"/>
          <w:lang w:val="zh-CN"/>
        </w:rPr>
        <w:t xml:space="preserve">，属于</w:t>
      </w:r>
      <w:r>
        <w:rPr>
          <w:rFonts w:hint="eastAsia" w:ascii="宋体" w:hAnsi="宋体" w:eastAsia="宋体"/>
          <w:color w:val="auto"/>
          <w:sz w:val="24"/>
          <w:szCs w:val="24"/>
          <w:highlight w:val="none"/>
          <w:u w:val="single"/>
          <w:lang w:val="zh-CN"/>
        </w:rPr>
        <w:t xml:space="preserve"> 工业 </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制造商</w:t>
      </w:r>
      <w:r>
        <w:rPr>
          <w:rFonts w:ascii="宋体" w:hAnsi="宋体" w:eastAsia="宋体"/>
          <w:color w:val="auto"/>
          <w:sz w:val="24"/>
          <w:szCs w:val="24"/>
          <w:highlight w:val="none"/>
          <w:lang w:val="zh-CN"/>
        </w:rPr>
        <w:t xml:space="preserve">为</w:t>
      </w:r>
      <w:r>
        <w:rPr>
          <w:rFonts w:ascii="宋体" w:hAnsi="宋体" w:eastAsia="宋体"/>
          <w:color w:val="auto"/>
          <w:sz w:val="24"/>
          <w:szCs w:val="24"/>
          <w:highlight w:val="none"/>
          <w:u w:val="single"/>
          <w:lang w:val="zh-CN"/>
        </w:rPr>
        <w:t xml:space="preserve">（企业名称）</w:t>
      </w:r>
      <w:r>
        <w:rPr>
          <w:rFonts w:ascii="宋体" w:hAnsi="宋体" w:eastAsia="宋体"/>
          <w:color w:val="auto"/>
          <w:sz w:val="24"/>
          <w:szCs w:val="24"/>
          <w:highlight w:val="none"/>
          <w:lang w:val="zh-CN"/>
        </w:rPr>
        <w:t xml:space="preserve">，从业人员</w:t>
      </w:r>
      <w:r>
        <w:rPr>
          <w:rFonts w:hint="eastAsia"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人，营业收入为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万元，资产总额为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万元，属于</w:t>
      </w:r>
      <w:r>
        <w:rPr>
          <w:rFonts w:ascii="宋体" w:hAnsi="宋体" w:eastAsia="宋体"/>
          <w:color w:val="auto"/>
          <w:sz w:val="24"/>
          <w:szCs w:val="24"/>
          <w:highlight w:val="none"/>
          <w:u w:val="single"/>
          <w:lang w:val="zh-CN"/>
        </w:rPr>
        <w:t xml:space="preserve">（中型企业、小型企业、微型企业</w:t>
      </w:r>
      <w:r>
        <w:rPr>
          <w:rFonts w:hint="eastAsia" w:ascii="宋体" w:hAnsi="宋体" w:eastAsia="宋体"/>
          <w:color w:val="auto"/>
          <w:sz w:val="24"/>
          <w:szCs w:val="24"/>
          <w:highlight w:val="none"/>
          <w:u w:val="single"/>
          <w:lang w:val="zh-CN"/>
        </w:rPr>
        <w:t xml:space="preserve">，三者选一填写</w:t>
      </w:r>
      <w:r>
        <w:rPr>
          <w:rFonts w:ascii="宋体" w:hAnsi="宋体" w:eastAsia="宋体"/>
          <w:color w:val="auto"/>
          <w:sz w:val="24"/>
          <w:szCs w:val="24"/>
          <w:highlight w:val="none"/>
          <w:u w:val="single"/>
          <w:lang w:val="zh-CN"/>
        </w:rPr>
        <w:t xml:space="preserve">）</w:t>
      </w: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企业名称（盖章）：</w:t>
      </w:r>
      <w:r>
        <w:rPr>
          <w:rFonts w:hint="eastAsia" w:ascii="宋体" w:hAnsi="宋体" w:eastAsia="宋体"/>
          <w:color w:val="auto"/>
          <w:sz w:val="24"/>
          <w:szCs w:val="24"/>
          <w:highlight w:val="none"/>
          <w:lang w:val="zh-CN"/>
        </w:rPr>
        <w:t xml:space="preserve">          </w:t>
      </w:r>
      <w:r/>
    </w:p>
    <w:p>
      <w:pPr>
        <w:ind w:firstLine="480"/>
        <w:jc w:val="right"/>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日期：</w:t>
      </w:r>
      <w:r>
        <w:rPr>
          <w:rFonts w:hint="eastAsia" w:ascii="宋体" w:hAnsi="宋体" w:eastAsia="宋体"/>
          <w:color w:val="auto"/>
          <w:sz w:val="24"/>
          <w:szCs w:val="24"/>
          <w:highlight w:val="none"/>
          <w:lang w:val="zh-CN"/>
        </w:rPr>
        <w:t xml:space="preserve">          </w:t>
      </w:r>
      <w:r/>
    </w:p>
    <w:p>
      <w:pPr>
        <w:ind w:firstLine="480"/>
        <w:jc w:val="center"/>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jc w:val="left"/>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备注：</w:t>
      </w:r>
      <w:r/>
    </w:p>
    <w:p>
      <w:pPr>
        <w:ind w:firstLine="480"/>
        <w:spacing w:line="276" w:lineRule="auto"/>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1.</w:t>
      </w:r>
      <w:r>
        <w:rPr>
          <w:rFonts w:ascii="宋体" w:hAnsi="宋体" w:eastAsia="宋体"/>
          <w:color w:val="auto"/>
          <w:sz w:val="24"/>
          <w:szCs w:val="24"/>
          <w:highlight w:val="none"/>
          <w:lang w:val="zh-CN"/>
        </w:rPr>
        <w:t xml:space="preserve">从业人员、营业收入、资产总额填报上一年度数据，无上一年度数据的新成立企业可不填报。</w:t>
      </w:r>
      <w:r/>
    </w:p>
    <w:p>
      <w:pPr>
        <w:ind w:firstLine="482"/>
        <w:spacing w:line="276" w:lineRule="auto"/>
        <w:rPr>
          <w:rFonts w:ascii="宋体" w:hAnsi="宋体" w:eastAsia="宋体"/>
          <w:color w:val="auto"/>
          <w:sz w:val="24"/>
          <w:szCs w:val="24"/>
          <w:highlight w:val="none"/>
          <w:lang w:val="zh-CN"/>
        </w:rPr>
      </w:pPr>
      <w:r>
        <w:rPr>
          <w:rFonts w:ascii="宋体" w:hAnsi="宋体" w:eastAsia="宋体"/>
          <w:b/>
          <w:bCs/>
          <w:color w:val="auto"/>
          <w:sz w:val="24"/>
          <w:szCs w:val="24"/>
          <w:highlight w:val="none"/>
          <w:lang w:val="zh-CN"/>
        </w:rPr>
        <w:t xml:space="preserve">2</w:t>
      </w:r>
      <w:r>
        <w:rPr>
          <w:rFonts w:hint="eastAsia" w:ascii="宋体" w:hAnsi="宋体" w:eastAsia="宋体"/>
          <w:b/>
          <w:bCs/>
          <w:color w:val="auto"/>
          <w:sz w:val="24"/>
          <w:szCs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4</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0"/>
        <w:rPr>
          <w:rFonts w:ascii="宋体" w:hAnsi="宋体" w:eastAsia="宋体"/>
          <w:color w:val="auto"/>
          <w:szCs w:val="24"/>
          <w:highlight w:val="none"/>
        </w:rPr>
        <w:sectPr>
          <w:footerReference w:type="default" r:id="rId17"/>
          <w:footerReference w:type="first" r:id="rId18"/>
          <w:footnotePr/>
          <w:endnotePr/>
          <w:type w:val="nextPage"/>
          <w:pgSz w:w="11906" w:h="16838" w:orient="portrait"/>
          <w:pgMar w:top="1418" w:right="1366" w:bottom="1418" w:left="1508" w:header="850" w:footer="675" w:gutter="0"/>
          <w:pgNumType w:start="1"/>
          <w:cols w:num="1" w:sep="0" w:space="720" w:equalWidth="1"/>
          <w:docGrid w:linePitch="360"/>
          <w:titlePg/>
        </w:sectPr>
      </w:pPr>
      <w:r>
        <w:rPr>
          <w:rFonts w:ascii="宋体" w:hAnsi="宋体" w:eastAsia="宋体"/>
          <w:color w:val="auto"/>
          <w:szCs w:val="24"/>
          <w:highlight w:val="none"/>
        </w:rPr>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line="400" w:lineRule="exact"/>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残疾人福利性单位声明函</w:t>
      </w:r>
      <w:r/>
    </w:p>
    <w:p>
      <w:pPr>
        <w:spacing w:line="580" w:lineRule="exact"/>
        <w:rPr>
          <w:rFonts w:eastAsia="仿宋_GB2312"/>
          <w:b/>
          <w:color w:val="auto"/>
          <w:spacing w:val="6"/>
          <w:sz w:val="24"/>
          <w:szCs w:val="24"/>
          <w:highlight w:val="none"/>
        </w:rPr>
      </w:pPr>
      <w:r>
        <w:rPr>
          <w:rFonts w:eastAsia="仿宋_GB2312"/>
          <w:b/>
          <w:color w:val="auto"/>
          <w:spacing w:val="6"/>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left="3400" w:firstLine="22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单位名称（盖章）：</w:t>
      </w:r>
      <w:r/>
    </w:p>
    <w:p>
      <w:pPr>
        <w:ind w:left="3400" w:firstLine="22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w:t>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pStyle w:val="922"/>
        <w:ind w:left="0" w:firstLine="0"/>
        <w:rPr>
          <w:color w:val="auto"/>
          <w:highlight w:val="none"/>
        </w:rPr>
      </w:pPr>
      <w:r>
        <w:rPr>
          <w:rFonts w:ascii="宋体" w:hAnsi="宋体" w:eastAsia="宋体" w:cs="Times New Roman"/>
          <w:b/>
          <w:color w:val="auto"/>
          <w:sz w:val="24"/>
          <w:szCs w:val="24"/>
          <w:highlight w:val="none"/>
          <w:lang w:val="en-US" w:eastAsia="zh-CN" w:bidi="ar-SA"/>
        </w:rPr>
        <w:br w:type="page" w:clear="all"/>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2" w:name="_Toc13642115"/>
      <w:r/>
      <w:bookmarkStart w:id="63" w:name="_Toc466918799"/>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rPr>
          <w:rFonts w:ascii="宋体" w:hAnsi="宋体" w:eastAsia="宋体" w:cs="Times New Roman"/>
          <w:b/>
          <w:color w:val="auto"/>
          <w:sz w:val="52"/>
          <w:szCs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rPr>
          <w:rFonts w:ascii="宋体" w:hAnsi="宋体" w:eastAsia="宋体" w:cs="Times New Roman"/>
          <w:b/>
          <w:color w:val="auto"/>
          <w:sz w:val="52"/>
          <w:szCs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4" w:name="_Toc23680"/>
      <w:r>
        <w:rPr>
          <w:rFonts w:hint="eastAsia" w:ascii="宋体" w:hAnsi="宋体" w:eastAsia="宋体" w:cs="Times New Roman"/>
          <w:b/>
          <w:color w:val="auto"/>
          <w:sz w:val="52"/>
          <w:szCs w:val="52"/>
          <w:highlight w:val="none"/>
          <w:lang w:val="en-US" w:eastAsia="zh-CN" w:bidi="ar-SA"/>
        </w:rPr>
        <w:t xml:space="preserve">第四章 </w:t>
      </w:r>
      <w:bookmarkEnd w:id="62"/>
      <w:r>
        <w:rPr>
          <w:rFonts w:hint="eastAsia" w:ascii="宋体" w:hAnsi="宋体" w:eastAsia="宋体" w:cs="Times New Roman"/>
          <w:b/>
          <w:color w:val="auto"/>
          <w:sz w:val="52"/>
          <w:szCs w:val="52"/>
          <w:highlight w:val="none"/>
          <w:lang w:val="en-US" w:eastAsia="zh-CN" w:bidi="ar-SA"/>
        </w:rPr>
        <w:t xml:space="preserve">谈判采购内容</w:t>
      </w:r>
      <w:bookmarkEnd w:id="63"/>
      <w:r/>
      <w:bookmarkEnd w:id="64"/>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bookmarkStart w:id="65" w:name="_Toc13543212"/>
      <w:r/>
      <w:bookmarkEnd w:id="65"/>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s="宋体"/>
          <w:color w:val="auto"/>
          <w:sz w:val="24"/>
          <w:szCs w:val="24"/>
          <w:highlight w:val="none"/>
        </w:rPr>
        <w:sectPr>
          <w:footerReference w:type="default" r:id="rId19"/>
          <w:footerReference w:type="first" r:id="rId20"/>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color w:val="auto"/>
          <w:sz w:val="24"/>
          <w:szCs w:val="24"/>
          <w:highlight w:val="none"/>
        </w:rPr>
      </w:r>
      <w:r/>
    </w:p>
    <w:p>
      <w:pPr>
        <w:ind w:firstLine="480"/>
        <w:keepLines w:val="0"/>
        <w:keepNext w:val="0"/>
        <w:pageBreakBefore w:val="0"/>
        <w:spacing w:line="351"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苏州乐慧招投标咨询有限公司受</w:t>
      </w:r>
      <w:r>
        <w:rPr>
          <w:rFonts w:hint="eastAsia" w:ascii="宋体" w:hAnsi="宋体" w:eastAsia="宋体" w:cs="宋体"/>
          <w:color w:val="auto"/>
          <w:sz w:val="24"/>
          <w:szCs w:val="24"/>
          <w:highlight w:val="none"/>
          <w:lang w:eastAsia="zh-CN"/>
        </w:rPr>
        <w:t xml:space="preserve">昆山市妇幼保健院</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lang w:eastAsia="zh-CN"/>
        </w:rPr>
        <w:t xml:space="preserve">全自动医用PCR分析系统（扩增设备）</w:t>
      </w:r>
      <w:r>
        <w:rPr>
          <w:rFonts w:hint="eastAsia" w:ascii="宋体" w:hAnsi="宋体" w:eastAsia="宋体" w:cs="宋体"/>
          <w:color w:val="auto"/>
          <w:sz w:val="24"/>
          <w:szCs w:val="24"/>
          <w:highlight w:val="none"/>
        </w:rPr>
        <w:t xml:space="preserve">项目</w:t>
      </w:r>
      <w:r>
        <w:rPr>
          <w:rFonts w:hint="eastAsia" w:ascii="宋体" w:hAnsi="宋体" w:eastAsia="宋体"/>
          <w:color w:val="auto"/>
          <w:sz w:val="24"/>
          <w:szCs w:val="24"/>
          <w:highlight w:val="none"/>
        </w:rPr>
        <w:t xml:space="preserve">采用竞争性谈判方式进行采购</w:t>
      </w:r>
      <w:r>
        <w:rPr>
          <w:rFonts w:hint="eastAsia" w:ascii="宋体" w:hAnsi="宋体" w:eastAsia="宋体" w:cs="宋体"/>
          <w:color w:val="auto"/>
          <w:sz w:val="24"/>
          <w:szCs w:val="24"/>
          <w:highlight w:val="none"/>
        </w:rPr>
        <w:t xml:space="preserve">，欢迎有资格的供应商前来参加本次谈判采购。</w:t>
      </w:r>
      <w:r/>
    </w:p>
    <w:p>
      <w:pPr>
        <w:ind w:firstLine="482"/>
        <w:keepLines w:val="0"/>
        <w:keepNext w:val="0"/>
        <w:pageBreakBefore w:val="0"/>
        <w:spacing w:line="351"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一、采购编号：</w:t>
      </w:r>
      <w:r>
        <w:rPr>
          <w:rFonts w:hint="eastAsia" w:ascii="宋体" w:hAnsi="宋体" w:eastAsia="宋体"/>
          <w:color w:val="auto"/>
          <w:sz w:val="24"/>
          <w:szCs w:val="24"/>
          <w:highlight w:val="none"/>
          <w:lang w:eastAsia="zh-CN"/>
        </w:rPr>
        <w:t xml:space="preserve">JSZC-320583-LHZX-T2025-0049</w:t>
      </w:r>
      <w:r>
        <w:rPr>
          <w:rFonts w:hint="eastAsia" w:ascii="宋体" w:hAnsi="宋体" w:eastAsia="宋体"/>
          <w:color w:val="auto"/>
          <w:sz w:val="24"/>
          <w:szCs w:val="24"/>
          <w:highlight w:val="none"/>
        </w:rPr>
        <w:t xml:space="preserve">号</w:t>
      </w:r>
      <w:r/>
    </w:p>
    <w:p>
      <w:pPr>
        <w:ind w:firstLine="482"/>
        <w:keepLines w:val="0"/>
        <w:keepNext w:val="0"/>
        <w:pageBreakBefore w:val="0"/>
        <w:spacing w:line="351" w:lineRule="auto"/>
        <w:widowControl w:val="off"/>
        <w:tabs>
          <w:tab w:val="left" w:pos="3600" w:leader="none"/>
        </w:tabs>
        <w:rPr>
          <w:rFonts w:hint="eastAsia" w:ascii="宋体" w:hAnsi="宋体" w:eastAsia="宋体" w:cs="宋体"/>
          <w:color w:val="auto"/>
          <w:sz w:val="24"/>
          <w:highlight w:val="none"/>
          <w:lang w:eastAsia="zh-CN"/>
        </w:rPr>
      </w:pPr>
      <w:r>
        <w:rPr>
          <w:rFonts w:hint="eastAsia" w:ascii="宋体" w:hAnsi="宋体" w:eastAsia="宋体"/>
          <w:b/>
          <w:color w:val="auto"/>
          <w:sz w:val="24"/>
          <w:szCs w:val="24"/>
          <w:highlight w:val="none"/>
        </w:rPr>
        <w:t xml:space="preserve">二、采购预算：</w:t>
      </w:r>
      <w:r>
        <w:rPr>
          <w:rFonts w:hint="eastAsia" w:ascii="宋体" w:hAnsi="宋体" w:eastAsia="宋体" w:cs="宋体"/>
          <w:color w:val="auto"/>
          <w:sz w:val="24"/>
          <w:highlight w:val="none"/>
          <w:lang w:eastAsia="zh-CN"/>
        </w:rPr>
        <w:t xml:space="preserve">人民币玖拾万元整（￥900000.00）</w:t>
      </w:r>
      <w:r/>
    </w:p>
    <w:p>
      <w:pPr>
        <w:ind w:firstLine="482"/>
        <w:keepLines w:val="0"/>
        <w:keepNext w:val="0"/>
        <w:pageBreakBefore w:val="0"/>
        <w:spacing w:line="351" w:lineRule="auto"/>
        <w:widowControl w:val="off"/>
        <w:tabs>
          <w:tab w:val="left" w:pos="3600" w:leader="none"/>
        </w:tabs>
        <w:rPr>
          <w:rFonts w:hint="default" w:ascii="宋体" w:hAnsi="宋体" w:eastAsia="宋体"/>
          <w:b/>
          <w:color w:val="auto"/>
          <w:sz w:val="24"/>
          <w:szCs w:val="24"/>
          <w:highlight w:val="none"/>
          <w:lang w:val="en-US" w:eastAsia="zh-CN"/>
        </w:rPr>
      </w:pPr>
      <w:r/>
      <w:bookmarkStart w:id="66" w:name="_Toc13642116"/>
      <w:r/>
      <w:bookmarkStart w:id="67" w:name="_Toc291668811"/>
      <w:r>
        <w:rPr>
          <w:rFonts w:hint="eastAsia" w:ascii="宋体" w:hAnsi="宋体" w:eastAsia="宋体"/>
          <w:b/>
          <w:color w:val="auto"/>
          <w:sz w:val="24"/>
          <w:szCs w:val="24"/>
          <w:highlight w:val="none"/>
          <w:lang w:val="en-US" w:eastAsia="zh-CN"/>
        </w:rPr>
        <w:t xml:space="preserve">三、采购内容：</w:t>
      </w:r>
      <w:r/>
    </w:p>
    <w:tbl>
      <w:tblPr>
        <w:tblStyle w:val="891"/>
        <w:tblW w:w="4996" w:type="pct"/>
        <w:jc w:val="center"/>
        <w:tblLayout w:type="fixed"/>
        <w:tblCellMar>
          <w:left w:w="108" w:type="dxa"/>
          <w:top w:w="0" w:type="dxa"/>
          <w:right w:w="108" w:type="dxa"/>
          <w:bottom w:w="0" w:type="dxa"/>
        </w:tblCellMar>
        <w:tblLook w:val="04A0" w:firstRow="1" w:lastRow="0" w:firstColumn="1" w:lastColumn="0" w:noHBand="0" w:noVBand="1"/>
      </w:tblPr>
      <w:tblGrid>
        <w:gridCol w:w="1013"/>
        <w:gridCol w:w="4398"/>
        <w:gridCol w:w="1268"/>
        <w:gridCol w:w="1050"/>
        <w:gridCol w:w="1512"/>
      </w:tblGrid>
      <w:tr>
        <w:trPr>
          <w:jc w:val="center"/>
          <w:trHeight w:val="403"/>
        </w:trPr>
        <w:tc>
          <w:tcPr>
            <w:tcBorders>
              <w:top w:val="single" w:color="auto" w:sz="4" w:space="0"/>
              <w:left w:val="single" w:color="auto" w:sz="4" w:space="0"/>
              <w:bottom w:val="single" w:color="auto" w:sz="4" w:space="0"/>
              <w:right w:val="single" w:color="auto" w:sz="4" w:space="0"/>
            </w:tcBorders>
            <w:tcW w:w="548"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3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Borders>
              <w:top w:val="single" w:color="auto" w:sz="4" w:space="0"/>
              <w:left w:val="none" w:color="000000" w:sz="4" w:space="0"/>
              <w:bottom w:val="single" w:color="auto" w:sz="4" w:space="0"/>
              <w:right w:val="single" w:color="auto" w:sz="4" w:space="0"/>
            </w:tcBorders>
            <w:tcW w:w="686" w:type="pct"/>
            <w:vAlign w:val="center"/>
            <w:textDirection w:val="lrTb"/>
            <w:noWrap/>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c>
          <w:tcPr>
            <w:tcBorders>
              <w:top w:val="single" w:color="auto" w:sz="4" w:space="0"/>
              <w:left w:val="none" w:color="000000" w:sz="4" w:space="0"/>
              <w:bottom w:val="single" w:color="auto" w:sz="4" w:space="0"/>
              <w:right w:val="single" w:color="auto" w:sz="4" w:space="0"/>
            </w:tcBorders>
            <w:tcW w:w="568"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818" w:type="pct"/>
            <w:vAlign w:val="top"/>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总价</w:t>
            </w:r>
            <w:r/>
          </w:p>
        </w:tc>
      </w:tr>
      <w:tr>
        <w:trPr>
          <w:jc w:val="center"/>
          <w:trHeight w:val="356"/>
        </w:trPr>
        <w:tc>
          <w:tcPr>
            <w:tcBorders>
              <w:top w:val="single" w:color="auto" w:sz="4" w:space="0"/>
              <w:left w:val="single" w:color="auto" w:sz="4" w:space="0"/>
              <w:bottom w:val="single" w:color="auto" w:sz="4" w:space="0"/>
              <w:right w:val="single" w:color="auto" w:sz="4" w:space="0"/>
            </w:tcBorders>
            <w:tcW w:w="548" w:type="pct"/>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23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全自动医用PCR分析系统（扩增设备）</w:t>
            </w:r>
            <w:r/>
          </w:p>
        </w:tc>
        <w:tc>
          <w:tcPr>
            <w:tcBorders>
              <w:top w:val="single" w:color="auto" w:sz="4" w:space="0"/>
              <w:left w:val="none" w:color="000000" w:sz="4" w:space="0"/>
              <w:bottom w:val="single" w:color="auto" w:sz="4" w:space="0"/>
              <w:right w:val="single" w:color="auto" w:sz="4" w:space="0"/>
            </w:tcBorders>
            <w:tcW w:w="686" w:type="pct"/>
            <w:vAlign w:val="center"/>
            <w:textDirection w:val="lrTb"/>
            <w:noWrap/>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45万元</w:t>
            </w:r>
            <w:r/>
          </w:p>
        </w:tc>
        <w:tc>
          <w:tcPr>
            <w:tcBorders>
              <w:top w:val="single" w:color="auto" w:sz="4" w:space="0"/>
              <w:left w:val="none" w:color="000000" w:sz="4" w:space="0"/>
              <w:bottom w:val="single" w:color="auto" w:sz="4" w:space="0"/>
              <w:right w:val="single" w:color="auto" w:sz="4" w:space="0"/>
            </w:tcBorders>
            <w:tcW w:w="568" w:type="pct"/>
            <w:vAlign w:val="center"/>
            <w:textDirection w:val="lrTb"/>
            <w:noWrap/>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2台</w:t>
            </w:r>
            <w:r/>
          </w:p>
        </w:tc>
        <w:tc>
          <w:tcPr>
            <w:tcBorders>
              <w:top w:val="single" w:color="auto" w:sz="4" w:space="0"/>
              <w:left w:val="none" w:color="000000" w:sz="4" w:space="0"/>
              <w:bottom w:val="single" w:color="auto" w:sz="4" w:space="0"/>
              <w:right w:val="single" w:color="auto" w:sz="4" w:space="0"/>
            </w:tcBorders>
            <w:tcW w:w="81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90万元</w:t>
            </w:r>
            <w:r/>
          </w:p>
        </w:tc>
      </w:tr>
    </w:tbl>
    <w:p>
      <w:pPr>
        <w:ind w:firstLine="482"/>
        <w:keepLines w:val="0"/>
        <w:keepNext w:val="0"/>
        <w:pageBreakBefore w:val="0"/>
        <w:spacing w:line="351" w:lineRule="auto"/>
        <w:widowControl w:val="off"/>
        <w:tabs>
          <w:tab w:val="left" w:pos="3600" w:leader="none"/>
        </w:tabs>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四、技术参数要求</w:t>
      </w:r>
      <w:r/>
    </w:p>
    <w:p>
      <w:pPr>
        <w:ind w:firstLine="482"/>
        <w:keepLines w:val="0"/>
        <w:keepNext w:val="0"/>
        <w:pageBreakBefore w:val="0"/>
        <w:spacing w:line="351" w:lineRule="auto"/>
        <w:widowControl w:val="off"/>
        <w:tabs>
          <w:tab w:val="left" w:pos="3600"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1.用途：可用于具有医疗器械资质的呼吸道、生殖道、血源性传染病核酸检测试剂盒的检测。</w:t>
      </w:r>
      <w:r/>
    </w:p>
    <w:p>
      <w:pPr>
        <w:ind w:firstLine="482"/>
        <w:keepLines w:val="0"/>
        <w:keepNext w:val="0"/>
        <w:pageBreakBefore w:val="0"/>
        <w:spacing w:line="351" w:lineRule="auto"/>
        <w:widowControl w:val="off"/>
        <w:tabs>
          <w:tab w:val="left" w:pos="3600"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2.仪器主要由控制模块、温控模块、光电模块、电源模块和软件组成。</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3.激发光源：采用高效LED免维护光源。</w:t>
      </w:r>
      <w:r/>
    </w:p>
    <w:p>
      <w:pPr>
        <w:ind w:firstLine="482"/>
        <w:keepLines w:val="0"/>
        <w:keepNext w:val="0"/>
        <w:pageBreakBefore w:val="0"/>
        <w:spacing w:line="351" w:lineRule="auto"/>
        <w:widowControl w:val="off"/>
        <w:tabs>
          <w:tab w:val="left" w:pos="3600"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4.样本容量：≥48检测通道。</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5.适用耗材：0.2ml PCR反应管。</w:t>
      </w:r>
      <w:r/>
    </w:p>
    <w:p>
      <w:pPr>
        <w:ind w:firstLine="482"/>
        <w:keepLines w:val="0"/>
        <w:keepNext w:val="0"/>
        <w:pageBreakBefore w:val="0"/>
        <w:spacing w:line="351" w:lineRule="auto"/>
        <w:widowControl w:val="off"/>
        <w:tabs>
          <w:tab w:val="left" w:pos="3600"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6.荧光检测通道：≥6个，适用于单管5个目标基因片段的检测。</w:t>
      </w:r>
      <w:r/>
    </w:p>
    <w:p>
      <w:pPr>
        <w:ind w:firstLine="482"/>
        <w:keepLines w:val="0"/>
        <w:keepNext w:val="0"/>
        <w:pageBreakBefore w:val="0"/>
        <w:spacing w:line="351" w:lineRule="auto"/>
        <w:widowControl w:val="off"/>
        <w:tabs>
          <w:tab w:val="left" w:pos="3600"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7.最大升温速度：≥6℃/s。</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8.最大降温速度：≥5℃/s。</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9.温控范围：4℃-99℃。</w:t>
      </w:r>
      <w:r/>
    </w:p>
    <w:p>
      <w:pPr>
        <w:ind w:firstLine="482"/>
        <w:keepLines w:val="0"/>
        <w:keepNext w:val="0"/>
        <w:pageBreakBefore w:val="0"/>
        <w:spacing w:line="351" w:lineRule="auto"/>
        <w:widowControl w:val="off"/>
        <w:tabs>
          <w:tab w:val="left" w:pos="3600"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10.温度均一性：≤±0.2℃。</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11.反应容积：10ul-50ul。</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12.软件应用模式：定量/定性检测、熔解曲线、相对定量、高分辨溶解曲线等检测模式。</w:t>
      </w:r>
      <w:r/>
    </w:p>
    <w:p>
      <w:pPr>
        <w:ind w:firstLine="482"/>
        <w:keepLines w:val="0"/>
        <w:keepNext w:val="0"/>
        <w:pageBreakBefore w:val="0"/>
        <w:spacing w:line="351" w:lineRule="auto"/>
        <w:widowControl w:val="off"/>
        <w:tabs>
          <w:tab w:val="left" w:pos="3600" w:leader="none"/>
        </w:tabs>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13.含有中文检测分析软件，方便使用者进行检测操作及软件升级。</w:t>
      </w:r>
      <w:r/>
    </w:p>
    <w:p>
      <w:pPr>
        <w:ind w:firstLine="482"/>
        <w:keepLines w:val="0"/>
        <w:keepNext w:val="0"/>
        <w:pageBreakBefore w:val="0"/>
        <w:spacing w:line="351" w:lineRule="auto"/>
        <w:widowControl w:val="off"/>
        <w:tabs>
          <w:tab w:val="left" w:pos="3600" w:leader="none"/>
        </w:tabs>
        <w:rPr>
          <w:rFonts w:hint="default"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五、采购要求说明</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验收标准：符合相关国家标准、货物本身的规格、技术条件及中标人承诺的其它指标。如验收不合格或相关要求不合格、达不到招标文件要求或投标文件中所承诺的标准，采购人有权拒绝收货，并上报有关部门按相关规定处理，中标人须承担相关损失及违约责任。当双方对验收标准有争议时，可委托双方一致认可的国家相关权威检测中心进行检测，费用由责任方承担。</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2"/>
        <w:keepLines w:val="0"/>
        <w:keepNext w:val="0"/>
        <w:pageBreakBefore w:val="0"/>
        <w:spacing w:line="351" w:lineRule="auto"/>
        <w:widowControl w:val="off"/>
        <w:tabs>
          <w:tab w:val="left" w:pos="3600" w:leader="none"/>
        </w:tabs>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六、综合说明及其它要求：</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响应单位所投产品应能够至少达到以上技术参数要求（若采购文件中涉及品牌或品牌导向，仅作参考），凡是等于或优于上述技术参数要求的产品均可参与响应。同时必须明确所投产品的品牌型号，响应文件中提供</w:t>
      </w:r>
      <w:r>
        <w:rPr>
          <w:rFonts w:hint="eastAsia" w:ascii="宋体" w:hAnsi="宋体" w:eastAsia="宋体" w:cs="宋体"/>
          <w:color w:val="auto"/>
          <w:sz w:val="24"/>
          <w:szCs w:val="24"/>
          <w:highlight w:val="none"/>
        </w:rPr>
        <w:t xml:space="preserve">彩页</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技术白皮书或厂家技术参数表等证明材料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b w:val="0"/>
          <w:bCs/>
          <w:color w:val="auto"/>
          <w:sz w:val="24"/>
          <w:szCs w:val="24"/>
          <w:highlight w:val="none"/>
          <w:lang w:val="en-US" w:eastAsia="zh-CN"/>
        </w:rPr>
        <w:t xml:space="preserve">否则将导致其谈判响应文件被谈判小组拒绝。供应商所提供货物的生产、制造、安装等各项技术标准，应当符合国家（强制性）标准、各项规范要求；国家没有相应标准、规范的，可使用行业标准、规定；非标设备按采购约定的技术要求和规范。谈判响应单位必须承诺谈判采购文件中提出的全部技术规格与要求，如果其中某些条款不响应时，应在文件中逐条列出</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谈判总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知识产权：供方应保证采购人免除且供方承担由于采购人在其本国使用该设备或设备任何一部分时而引起第三方提出的侵犯专利权、商标权或工业设计权的起诉、行动、行政程序索赔、请求等因此而产生的任何损失和损害、费用和支出（包括律师费）。</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4、验收：</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4.1产品配置必须原厂出厂时全部自带，所有设备外包装箱不得自行拆封，包装箱上所有标签等不得涂改或撕毁，否则采购单位有权拒绝验收；</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4.2验收时成交方须出具外购件的原厂质保的证明；</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4.3符合设备本身的规格、技术条件及乙方承诺的其它指标；</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4.4采购货物的验收时间：交货并完成安装后三十天内；</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5、伴随服务：按国家行业标准规定和采购文件执行。</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6、凡涉及采购文件的补充说明和修改，均以苏州市政府采购网发出的更正公告为准。</w:t>
      </w:r>
      <w:r/>
    </w:p>
    <w:p>
      <w:pPr>
        <w:ind w:firstLine="480"/>
        <w:keepLines w:val="0"/>
        <w:keepNext w:val="0"/>
        <w:pageBreakBefore w:val="0"/>
        <w:spacing w:line="351" w:lineRule="auto"/>
        <w:widowControl w:val="off"/>
        <w:rPr>
          <w:rFonts w:ascii="宋体" w:hAnsi="宋体" w:eastAsia="宋体" w:cs="宋体"/>
          <w:color w:val="auto"/>
          <w:sz w:val="24"/>
          <w:szCs w:val="24"/>
          <w:highlight w:val="none"/>
        </w:rPr>
      </w:pPr>
      <w:r>
        <w:rPr>
          <w:rFonts w:hint="eastAsia" w:ascii="宋体" w:hAnsi="宋体" w:eastAsia="宋体"/>
          <w:bCs/>
          <w:color w:val="auto"/>
          <w:sz w:val="24"/>
          <w:szCs w:val="24"/>
          <w:highlight w:val="none"/>
          <w:lang w:val="en-US" w:eastAsia="zh-CN"/>
        </w:rPr>
        <w:t xml:space="preserve">七</w:t>
      </w:r>
      <w:r>
        <w:rPr>
          <w:rFonts w:hint="eastAsia" w:ascii="宋体" w:hAnsi="宋体" w:eastAsia="宋体"/>
          <w:bCs/>
          <w:color w:val="auto"/>
          <w:sz w:val="24"/>
          <w:szCs w:val="24"/>
          <w:highlight w:val="none"/>
        </w:rPr>
        <w:t xml:space="preserve">、凡涉及采购文件的补充说明和修改，均以</w:t>
      </w:r>
      <w:r>
        <w:rPr>
          <w:rFonts w:ascii="宋体" w:hAnsi="宋体" w:eastAsia="宋体"/>
          <w:bCs/>
          <w:color w:val="auto"/>
          <w:sz w:val="24"/>
          <w:szCs w:val="24"/>
          <w:highlight w:val="none"/>
        </w:rPr>
        <w:t xml:space="preserve">苏州市政府采购网所发布</w:t>
      </w:r>
      <w:r>
        <w:rPr>
          <w:rFonts w:hint="eastAsia" w:ascii="宋体" w:hAnsi="宋体" w:eastAsia="宋体"/>
          <w:bCs/>
          <w:color w:val="auto"/>
          <w:sz w:val="24"/>
          <w:szCs w:val="24"/>
          <w:highlight w:val="none"/>
        </w:rPr>
        <w:t xml:space="preserve">的公告为准。</w:t>
      </w:r>
      <w:r/>
    </w:p>
    <w:p>
      <w:pPr>
        <w:contextualSpacing/>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contextualSpacing/>
        <w:ind w:firstLine="482"/>
        <w:spacing w:line="360" w:lineRule="auto"/>
        <w:rPr>
          <w:rFonts w:ascii="宋体" w:hAnsi="宋体" w:eastAsia="宋体" w:cs="宋体"/>
          <w:b/>
          <w:color w:val="auto"/>
          <w:sz w:val="24"/>
          <w:szCs w:val="24"/>
          <w:highlight w:val="none"/>
        </w:rPr>
        <w:sectPr>
          <w:footerReference w:type="default" r:id="rId21"/>
          <w:footerReference w:type="first" r:id="rId22"/>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b/>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8" w:name="_Toc466918800"/>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9" w:name="_Toc27598"/>
      <w:r>
        <w:rPr>
          <w:rFonts w:hint="eastAsia" w:ascii="宋体" w:hAnsi="宋体" w:eastAsia="宋体" w:cs="Times New Roman"/>
          <w:b/>
          <w:color w:val="auto"/>
          <w:sz w:val="52"/>
          <w:szCs w:val="52"/>
          <w:highlight w:val="none"/>
          <w:lang w:val="en-US" w:eastAsia="zh-CN" w:bidi="ar-SA"/>
        </w:rPr>
        <w:t xml:space="preserve">第五章</w:t>
      </w:r>
      <w:r>
        <w:rPr>
          <w:rFonts w:ascii="宋体" w:hAnsi="宋体" w:eastAsia="宋体" w:cs="Times New Roman"/>
          <w:b/>
          <w:color w:val="auto"/>
          <w:sz w:val="52"/>
          <w:szCs w:val="52"/>
          <w:highlight w:val="none"/>
          <w:lang w:val="en-US" w:eastAsia="zh-CN" w:bidi="ar-SA"/>
        </w:rPr>
        <w:t xml:space="preserve"> </w:t>
      </w:r>
      <w:r>
        <w:rPr>
          <w:rFonts w:hint="eastAsia" w:ascii="宋体" w:hAnsi="宋体" w:eastAsia="宋体" w:cs="Times New Roman"/>
          <w:b/>
          <w:color w:val="auto"/>
          <w:sz w:val="52"/>
          <w:szCs w:val="52"/>
          <w:highlight w:val="none"/>
          <w:lang w:val="en-US" w:eastAsia="zh-CN" w:bidi="ar-SA"/>
        </w:rPr>
        <w:t xml:space="preserve">合同主要条款</w:t>
      </w:r>
      <w:bookmarkEnd w:id="66"/>
      <w:r/>
      <w:bookmarkEnd w:id="67"/>
      <w:r/>
      <w:bookmarkEnd w:id="68"/>
      <w:r/>
      <w:bookmarkEnd w:id="69"/>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line="360" w:lineRule="auto"/>
        <w:rPr>
          <w:rFonts w:ascii="宋体" w:hAnsi="宋体" w:eastAsia="宋体"/>
          <w:b/>
          <w:color w:val="auto"/>
          <w:sz w:val="48"/>
          <w:szCs w:val="48"/>
          <w:highlight w:val="none"/>
        </w:rPr>
        <w:outlineLvl w:val="0"/>
      </w:pPr>
      <w:r>
        <w:rPr>
          <w:rFonts w:ascii="宋体" w:hAnsi="宋体" w:eastAsia="宋体"/>
          <w:color w:val="auto"/>
          <w:sz w:val="24"/>
          <w:szCs w:val="24"/>
          <w:highlight w:val="none"/>
        </w:rPr>
        <w:br w:type="page" w:clear="all"/>
      </w:r>
      <w:r>
        <w:rPr>
          <w:rFonts w:hint="eastAsia" w:ascii="宋体" w:hAnsi="宋体" w:eastAsia="宋体"/>
          <w:b/>
          <w:color w:val="auto"/>
          <w:sz w:val="48"/>
          <w:szCs w:val="48"/>
          <w:highlight w:val="none"/>
        </w:rPr>
        <w:t xml:space="preserve">合同主要条款</w:t>
      </w:r>
      <w:r/>
    </w:p>
    <w:p>
      <w:pPr>
        <w:ind w:firstLine="482"/>
        <w:jc w:val="center"/>
        <w:spacing w:line="348" w:lineRule="auto"/>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（项目编号：</w:t>
      </w:r>
      <w:r>
        <w:rPr>
          <w:rFonts w:hint="eastAsia" w:ascii="宋体" w:hAnsi="宋体" w:eastAsia="宋体" w:cs="宋体"/>
          <w:b/>
          <w:bCs/>
          <w:color w:val="auto"/>
          <w:sz w:val="24"/>
          <w:szCs w:val="22"/>
          <w:highlight w:val="none"/>
          <w:lang w:eastAsia="zh-CN"/>
        </w:rPr>
        <w:t xml:space="preserve">JSZC-320583-LHZX-T2025-0049</w:t>
      </w:r>
      <w:r>
        <w:rPr>
          <w:rFonts w:hint="eastAsia" w:ascii="宋体" w:hAnsi="宋体" w:eastAsia="宋体" w:cs="宋体"/>
          <w:b/>
          <w:bCs/>
          <w:color w:val="auto"/>
          <w:sz w:val="24"/>
          <w:szCs w:val="22"/>
          <w:highlight w:val="none"/>
        </w:rPr>
        <w:t xml:space="preserve">）</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甲方（采购单位）：</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联系人：</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联系地址：</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乙方（成交单位）：</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联系人：</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联系地址：</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根据苏州乐慧招投标咨询有限公司采购编号</w:t>
      </w:r>
      <w:r>
        <w:rPr>
          <w:rFonts w:hint="eastAsia" w:ascii="宋体" w:hAnsi="宋体" w:eastAsia="宋体"/>
          <w:color w:val="auto"/>
          <w:sz w:val="24"/>
          <w:szCs w:val="24"/>
          <w:highlight w:val="none"/>
          <w:u w:val="single"/>
          <w:lang w:eastAsia="zh-CN"/>
        </w:rPr>
        <w:t xml:space="preserve">JSZC-320583-LHZX-T2025-0049</w:t>
      </w:r>
      <w:r>
        <w:rPr>
          <w:rFonts w:hint="eastAsia" w:ascii="宋体" w:hAnsi="宋体" w:eastAsia="宋体"/>
          <w:color w:val="auto"/>
          <w:sz w:val="24"/>
          <w:szCs w:val="24"/>
          <w:highlight w:val="none"/>
        </w:rPr>
        <w:t xml:space="preserve">号采购文件及成交单位的响应文件和成交通知书，甲乙双方就此次成交的标的物的购销事宜，签订本合同书。</w:t>
      </w:r>
      <w:r/>
    </w:p>
    <w:p>
      <w:pPr>
        <w:ind w:firstLine="480"/>
        <w:spacing w:line="360" w:lineRule="auto"/>
        <w:rPr>
          <w:rFonts w:ascii="宋体" w:hAnsi="宋体" w:eastAsia="宋体"/>
          <w:color w:val="auto"/>
          <w:sz w:val="24"/>
          <w:szCs w:val="24"/>
          <w:highlight w:val="none"/>
        </w:rPr>
      </w:pPr>
      <w:r/>
      <w:bookmarkStart w:id="70" w:name="_Toc291668812"/>
      <w:r>
        <w:rPr>
          <w:rFonts w:hint="eastAsia" w:ascii="宋体" w:hAnsi="宋体" w:eastAsia="宋体"/>
          <w:color w:val="auto"/>
          <w:sz w:val="24"/>
          <w:szCs w:val="24"/>
          <w:highlight w:val="none"/>
        </w:rPr>
        <w:t xml:space="preserve">一、合同的标的物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1.1甲方向乙方采购</w:t>
      </w:r>
      <w:r>
        <w:rPr>
          <w:rFonts w:hint="eastAsia" w:ascii="宋体" w:hAnsi="宋体" w:eastAsia="宋体"/>
          <w:color w:val="auto"/>
          <w:sz w:val="24"/>
          <w:szCs w:val="24"/>
          <w:highlight w:val="none"/>
          <w:lang w:eastAsia="zh-CN"/>
        </w:rPr>
        <w:t xml:space="preserve">全自动医用PCR分析系统（扩增设备）</w:t>
      </w:r>
      <w:r>
        <w:rPr>
          <w:rFonts w:hint="eastAsia" w:ascii="宋体" w:hAnsi="宋体" w:eastAsia="宋体"/>
          <w:color w:val="auto"/>
          <w:sz w:val="24"/>
          <w:szCs w:val="24"/>
          <w:highlight w:val="none"/>
        </w:rPr>
        <w:t xml:space="preserve">项目。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乙方对提供的标的物应当拥有完整的物权，并且负有保证第三人不得向甲方主张任何权利（包括知识产权）的义务。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1.3下列文件为本合同不可分割部分，其中的条款与要求为本合同执行的依据：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①成交通知书；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②乙方的响应文件；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③乙方在采购过程中所作的其它承诺、声明、书面澄清等；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④采购文件及其附件；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⑤合同附件。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以上与本合同具有同等法律效力。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二、合同价格与支付</w:t>
      </w:r>
      <w:r/>
    </w:p>
    <w:p>
      <w:pPr>
        <w:ind w:firstLine="480"/>
        <w:spacing w:line="360" w:lineRule="auto"/>
        <w:rPr>
          <w:rFonts w:hint="default" w:ascii="宋体" w:hAnsi="宋体" w:eastAsia="宋体"/>
          <w:color w:val="auto"/>
          <w:sz w:val="24"/>
          <w:szCs w:val="24"/>
          <w:highlight w:val="none"/>
          <w:u w:val="single"/>
          <w:lang w:val="en-US" w:eastAsia="zh-CN"/>
        </w:rPr>
      </w:pPr>
      <w:r>
        <w:rPr>
          <w:rFonts w:hint="eastAsia" w:ascii="宋体" w:hAnsi="宋体" w:eastAsia="宋体"/>
          <w:color w:val="auto"/>
          <w:sz w:val="24"/>
          <w:szCs w:val="24"/>
          <w:highlight w:val="none"/>
        </w:rPr>
        <w:t xml:space="preserve">2.1 合同价格按此次成交价格执行，合同总金额为人民币：</w:t>
      </w:r>
      <w:r>
        <w:rPr>
          <w:rFonts w:hint="eastAsia" w:ascii="宋体" w:hAnsi="宋体" w:eastAsia="宋体"/>
          <w:color w:val="auto"/>
          <w:sz w:val="24"/>
          <w:szCs w:val="24"/>
          <w:highlight w:val="none"/>
          <w:u w:val="single"/>
          <w:lang w:val="en-US" w:eastAsia="zh-CN"/>
        </w:rPr>
        <w:t xml:space="preserve">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所报价格在合同实施期间不因市场变化因素而变动。</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未填单价的项目，在实施后，</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将不予支付，并视为该项费用已包括在其它有价款的单价。）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2.2付款方式：</w:t>
      </w:r>
      <w:r>
        <w:rPr>
          <w:rFonts w:hint="eastAsia" w:ascii="宋体" w:hAnsi="宋体" w:eastAsia="宋体" w:cs="Times New Roman"/>
          <w:color w:val="auto"/>
          <w:sz w:val="24"/>
          <w:szCs w:val="24"/>
          <w:highlight w:val="none"/>
          <w:lang w:val="en-US" w:eastAsia="zh-CN"/>
        </w:rPr>
        <w:t xml:space="preserve">在合同签订完毕生效，待全部货物到达甲方指定地点，安装调试结束验收合格，甲方收到乙方提供的合格销售发票后，由甲方按合同总价支付90%的货款，余款10%在使用满一年后，无质量问题，由甲方在30日内向乙方一次性付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2.4</w:t>
      </w:r>
      <w:r>
        <w:rPr>
          <w:rFonts w:hint="eastAsia" w:ascii="宋体" w:hAnsi="宋体" w:eastAsia="宋体" w:cs="Times New Roman"/>
          <w:color w:val="auto"/>
          <w:sz w:val="24"/>
          <w:szCs w:val="24"/>
          <w:highlight w:val="none"/>
        </w:rPr>
        <w:t xml:space="preserve">安装设备时如涉及到的基建改造费用由乙方承担（如电箱改动等）。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2.5</w:t>
      </w:r>
      <w:r>
        <w:rPr>
          <w:rFonts w:hint="eastAsia" w:ascii="宋体" w:hAnsi="宋体" w:eastAsia="宋体" w:cs="Times New Roman"/>
          <w:color w:val="auto"/>
          <w:sz w:val="24"/>
          <w:szCs w:val="24"/>
          <w:highlight w:val="none"/>
        </w:rPr>
        <w:t xml:space="preserve">设备如需接入信息系统的端口接入费用及其他涉及到接入信息系统的费用由乙方承担。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安装设备所需的运输费用、搬运设备所需的人工费用及其他设备安装所需的费用由乙方承担。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包含人员外出培训费用。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支付方式：银行转账等。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3.4</w:t>
      </w:r>
      <w:r>
        <w:rPr>
          <w:rFonts w:hint="eastAsia" w:ascii="宋体" w:hAnsi="宋体" w:eastAsia="宋体"/>
          <w:color w:val="auto"/>
          <w:sz w:val="24"/>
          <w:szCs w:val="24"/>
          <w:highlight w:val="none"/>
        </w:rPr>
        <w:t xml:space="preserve">乙方</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产品应当符合《医疗器械监督管理条例》、《医疗器械生产监督管理办法》等相关法律法规规定。若乙方违反相关法律法规的，所产的一切责任由乙方自行承担，若因此导致甲方</w:t>
      </w:r>
      <w:r>
        <w:rPr>
          <w:rFonts w:hint="eastAsia" w:ascii="宋体" w:hAnsi="宋体" w:eastAsia="宋体"/>
          <w:color w:val="auto"/>
          <w:sz w:val="24"/>
          <w:szCs w:val="24"/>
          <w:highlight w:val="none"/>
          <w:lang w:val="en-US" w:eastAsia="zh-CN"/>
        </w:rPr>
        <w:t xml:space="preserve">遭受损失的，乙方应当赔偿全部损失。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4.1整机免费质保期≥3年，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五、货物要求</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5.2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六</w:t>
      </w:r>
      <w:r>
        <w:rPr>
          <w:rFonts w:hint="eastAsia" w:ascii="宋体" w:hAnsi="宋体" w:eastAsia="宋体" w:cs="Times New Roman"/>
          <w:color w:val="auto"/>
          <w:sz w:val="24"/>
          <w:szCs w:val="24"/>
          <w:highlight w:val="none"/>
        </w:rPr>
        <w:t xml:space="preserve">、包装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6.1乙方提供的设备必须为原包装，在送交甲方验收前不得拆箱。若乙方提供包装不符合本合同要求的，甲方有权拒绝收货，并要求乙方在指定期限内免费更换。</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六</w:t>
      </w:r>
      <w:r>
        <w:rPr>
          <w:rFonts w:hint="eastAsia" w:ascii="宋体" w:hAnsi="宋体" w:eastAsia="宋体" w:cs="Times New Roman"/>
          <w:color w:val="auto"/>
          <w:sz w:val="24"/>
          <w:szCs w:val="24"/>
          <w:highlight w:val="none"/>
        </w:rPr>
        <w:t xml:space="preserve">、标的物的交付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7.1</w:t>
      </w:r>
      <w:r>
        <w:rPr>
          <w:rFonts w:hint="eastAsia" w:ascii="宋体" w:hAnsi="宋体" w:eastAsia="宋体" w:cs="Times New Roman"/>
          <w:color w:val="auto"/>
          <w:sz w:val="24"/>
          <w:szCs w:val="24"/>
          <w:highlight w:val="none"/>
        </w:rPr>
        <w:t xml:space="preserve"> 标的物的所有权自标的物交付时转移。</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.2 乙方应当按照约定的期限和约定的地点交付标的物。</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.3 乙方应当按照约定或者交易习惯向甲方交付提取标的物单证以外的有关单证和资料。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若乙方未提供合格检验证明的，甲方有权拒绝收货。</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9.5若货物经甲方验收不合格的，乙方应当在指定期限内为甲方免费更换，若因此导致逾期交货的，不免除乙方的逾期违约责任。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甲方逾期支付货款的应按照逾期付款金额的每天万分之一支付逾期付款违约金。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，应在发货前与甲方协商，甲方仍需求的，乙方应立即发货，按照逾期交货部分货款的每天万分之一支付逾期交货违约金，同时承担甲方因此遭致的损失费用。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11.2.3乙方违反合同约定需承担违约金等费用的，甲方有权从未付金额中予以扣除，不足部分乙方应当补足。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w:t>
      </w:r>
      <w:r>
        <w:rPr>
          <w:rFonts w:hint="eastAsia" w:ascii="宋体" w:hAnsi="宋体" w:eastAsia="宋体" w:cs="Times New Roman"/>
          <w:color w:val="auto"/>
          <w:sz w:val="24"/>
          <w:szCs w:val="24"/>
          <w:highlight w:val="none"/>
          <w:lang w:val="zh-CN" w:eastAsia="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乙方为甲方更换货物的，货物质量保证期</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lang w:val="zh-CN" w:eastAsia="zh-CN"/>
        </w:rPr>
        <w:t xml:space="preserve">甲方</w:t>
      </w:r>
      <w:r>
        <w:rPr>
          <w:rFonts w:hint="eastAsia" w:ascii="宋体" w:hAnsi="宋体" w:eastAsia="宋体" w:cs="Times New Roman"/>
          <w:color w:val="auto"/>
          <w:sz w:val="24"/>
          <w:szCs w:val="24"/>
          <w:highlight w:val="none"/>
          <w:lang w:val="en-US" w:eastAsia="zh-CN"/>
        </w:rPr>
        <w:t xml:space="preserve">重新</w:t>
      </w:r>
      <w:r>
        <w:rPr>
          <w:rFonts w:hint="eastAsia" w:ascii="宋体" w:hAnsi="宋体" w:eastAsia="宋体" w:cs="Times New Roman"/>
          <w:color w:val="auto"/>
          <w:sz w:val="24"/>
          <w:szCs w:val="24"/>
          <w:highlight w:val="none"/>
          <w:lang w:val="zh-CN" w:eastAsia="zh-CN"/>
        </w:rPr>
        <w:t xml:space="preserve">验收合格</w:t>
      </w:r>
      <w:r>
        <w:rPr>
          <w:rFonts w:hint="eastAsia" w:ascii="宋体" w:hAnsi="宋体" w:eastAsia="宋体" w:cs="Times New Roman"/>
          <w:color w:val="auto"/>
          <w:sz w:val="24"/>
          <w:szCs w:val="24"/>
          <w:highlight w:val="none"/>
          <w:lang w:val="en-US" w:eastAsia="zh-CN"/>
        </w:rPr>
        <w:t xml:space="preserve">开始重新计算。</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71" w:name="_Toc466918801"/>
      <w:r/>
      <w:bookmarkStart w:id="72" w:name="_Toc29318"/>
      <w:r>
        <w:rPr>
          <w:rFonts w:hint="eastAsia" w:ascii="宋体" w:hAnsi="宋体" w:eastAsia="宋体" w:cs="Times New Roman"/>
          <w:b/>
          <w:color w:val="auto"/>
          <w:sz w:val="52"/>
          <w:szCs w:val="52"/>
          <w:highlight w:val="none"/>
          <w:lang w:val="en-US" w:eastAsia="zh-CN" w:bidi="ar-SA"/>
        </w:rPr>
        <w:t xml:space="preserve">第六章</w:t>
      </w:r>
      <w:r>
        <w:rPr>
          <w:rFonts w:ascii="宋体" w:hAnsi="宋体" w:eastAsia="宋体" w:cs="Times New Roman"/>
          <w:b/>
          <w:color w:val="auto"/>
          <w:sz w:val="52"/>
          <w:szCs w:val="52"/>
          <w:highlight w:val="none"/>
          <w:lang w:val="en-US" w:eastAsia="zh-CN" w:bidi="ar-SA"/>
        </w:rPr>
        <w:t xml:space="preserve"> </w:t>
      </w:r>
      <w:r>
        <w:rPr>
          <w:rFonts w:hint="eastAsia" w:ascii="宋体" w:hAnsi="宋体" w:eastAsia="宋体" w:cs="Times New Roman"/>
          <w:b/>
          <w:color w:val="auto"/>
          <w:sz w:val="52"/>
          <w:szCs w:val="52"/>
          <w:highlight w:val="none"/>
          <w:lang w:val="en-US" w:eastAsia="zh-CN" w:bidi="ar-SA"/>
        </w:rPr>
        <w:t xml:space="preserve">评审办法</w:t>
      </w:r>
      <w:bookmarkEnd w:id="70"/>
      <w:r/>
      <w:bookmarkEnd w:id="71"/>
      <w:r/>
      <w:bookmarkEnd w:id="72"/>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36" w:lineRule="auto"/>
        <w:rPr>
          <w:rFonts w:ascii="宋体" w:hAnsi="宋体" w:eastAsia="宋体"/>
          <w:b/>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24"/>
          <w:szCs w:val="24"/>
          <w:highlight w:val="none"/>
        </w:rPr>
        <w:t xml:space="preserve">一、评审办法</w:t>
      </w:r>
      <w:r/>
    </w:p>
    <w:p>
      <w:pPr>
        <w:ind w:firstLine="480"/>
        <w:spacing w:line="336"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审标准：采购人授权谈判小组根据本文件规定的成交原则，将在响应最终报价不超过采购预算，且响应内容的质量和服务均能满足采购文件实质性响应要求的供应商（不少于三家）中，提出最低报价的供应商确认为</w:t>
      </w:r>
      <w:r>
        <w:rPr>
          <w:rFonts w:ascii="宋体" w:hAnsi="宋体" w:eastAsia="宋体"/>
          <w:color w:val="auto"/>
          <w:sz w:val="24"/>
          <w:szCs w:val="24"/>
          <w:highlight w:val="none"/>
        </w:rPr>
        <w:t xml:space="preserve">成交</w:t>
      </w:r>
      <w:r>
        <w:rPr>
          <w:rFonts w:hint="eastAsia" w:ascii="宋体" w:hAnsi="宋体" w:eastAsia="宋体"/>
          <w:color w:val="auto"/>
          <w:sz w:val="24"/>
          <w:szCs w:val="24"/>
          <w:highlight w:val="none"/>
        </w:rPr>
        <w:t xml:space="preserve">供应商。</w:t>
      </w:r>
      <w:r/>
    </w:p>
    <w:p>
      <w:pPr>
        <w:ind w:firstLine="480"/>
        <w:spacing w:line="336"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委员会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委对谈判供应商的谈判响应文件按照谈判文件的规定和要求进行资格性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内容条款评审意见汇总后有评审内容项评审意见确定为不合格的，则该谈判响应文件将被视为不合格，且不具备成交资格。评审委员会在评审合格的响应文件中以提出最低报价的谈判供应商作为成交候选供应商。</w:t>
      </w:r>
      <w:r>
        <w:rPr>
          <w:rFonts w:ascii="宋体" w:hAnsi="宋体" w:eastAsia="宋体"/>
          <w:color w:val="auto"/>
          <w:sz w:val="24"/>
          <w:szCs w:val="24"/>
          <w:highlight w:val="none"/>
        </w:rPr>
        <w:t xml:space="preserve">如果</w:t>
      </w:r>
      <w:r>
        <w:rPr>
          <w:rFonts w:hint="eastAsia" w:ascii="宋体" w:hAnsi="宋体" w:eastAsia="宋体"/>
          <w:color w:val="auto"/>
          <w:sz w:val="24"/>
          <w:szCs w:val="24"/>
          <w:highlight w:val="none"/>
        </w:rPr>
        <w:t xml:space="preserve">两个或两个以上满足上述要求的谈判供应商的最终谈判报</w:t>
      </w:r>
      <w:r>
        <w:rPr>
          <w:rFonts w:ascii="宋体" w:hAnsi="宋体" w:eastAsia="宋体"/>
          <w:color w:val="auto"/>
          <w:sz w:val="24"/>
          <w:szCs w:val="24"/>
          <w:highlight w:val="none"/>
        </w:rPr>
        <w:t xml:space="preserve">价相同</w:t>
      </w:r>
      <w:r>
        <w:rPr>
          <w:rFonts w:hint="eastAsia" w:ascii="宋体" w:hAnsi="宋体" w:eastAsia="宋体"/>
          <w:color w:val="auto"/>
          <w:sz w:val="24"/>
          <w:szCs w:val="24"/>
          <w:highlight w:val="none"/>
        </w:rPr>
        <w:t xml:space="preserve">且均最低</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，则优先选择使用节能产品、环境标志产品较多的响应单位，若该项也一致</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则将优先采购交货期短者，如交货期也相同，</w:t>
      </w:r>
      <w:r>
        <w:rPr>
          <w:rFonts w:ascii="宋体" w:hAnsi="宋体" w:eastAsia="宋体"/>
          <w:color w:val="auto"/>
          <w:sz w:val="24"/>
          <w:szCs w:val="24"/>
          <w:highlight w:val="none"/>
        </w:rPr>
        <w:t xml:space="preserve">则由</w:t>
      </w:r>
      <w:r>
        <w:rPr>
          <w:rFonts w:hint="eastAsia" w:ascii="宋体" w:hAnsi="宋体" w:eastAsia="宋体"/>
          <w:color w:val="auto"/>
          <w:sz w:val="24"/>
          <w:szCs w:val="24"/>
          <w:highlight w:val="none"/>
        </w:rPr>
        <w:t xml:space="preserve">采购方</w:t>
      </w:r>
      <w:r>
        <w:rPr>
          <w:rFonts w:ascii="宋体" w:hAnsi="宋体" w:eastAsia="宋体"/>
          <w:color w:val="auto"/>
          <w:sz w:val="24"/>
          <w:szCs w:val="24"/>
          <w:highlight w:val="none"/>
        </w:rPr>
        <w:t xml:space="preserve">以抽签方式</w:t>
      </w:r>
      <w:r>
        <w:rPr>
          <w:rFonts w:hint="eastAsia" w:ascii="宋体" w:hAnsi="宋体" w:eastAsia="宋体"/>
          <w:color w:val="auto"/>
          <w:sz w:val="24"/>
          <w:szCs w:val="24"/>
          <w:highlight w:val="none"/>
        </w:rPr>
        <w:t xml:space="preserve">在提出最低报价、节能环保产品最多、交货期最短的供应商中</w:t>
      </w:r>
      <w:r>
        <w:rPr>
          <w:rFonts w:ascii="宋体" w:hAnsi="宋体" w:eastAsia="宋体"/>
          <w:color w:val="auto"/>
          <w:sz w:val="24"/>
          <w:szCs w:val="24"/>
          <w:highlight w:val="none"/>
        </w:rPr>
        <w:t xml:space="preserve">确定</w:t>
      </w:r>
      <w:r>
        <w:rPr>
          <w:rFonts w:hint="eastAsia" w:ascii="宋体" w:hAnsi="宋体" w:eastAsia="宋体"/>
          <w:color w:val="auto"/>
          <w:sz w:val="24"/>
          <w:szCs w:val="24"/>
          <w:highlight w:val="none"/>
        </w:rPr>
        <w:t xml:space="preserve">成交侯选供应商</w:t>
      </w:r>
      <w:r>
        <w:rPr>
          <w:rFonts w:ascii="宋体" w:hAnsi="宋体" w:eastAsia="宋体"/>
          <w:color w:val="auto"/>
          <w:sz w:val="24"/>
          <w:szCs w:val="24"/>
          <w:highlight w:val="none"/>
        </w:rPr>
        <w:t xml:space="preserve">。</w:t>
      </w:r>
      <w:bookmarkStart w:id="73" w:name="_GoBack"/>
      <w:r/>
      <w:bookmarkEnd w:id="73"/>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评审委员会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委员会可以取消该供应商的成交候选资格，按顺序由排在后面的成交候选供应商递补，以此类推。</w:t>
      </w:r>
      <w:r/>
    </w:p>
    <w:p>
      <w:pPr>
        <w:spacing w:line="33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二、评审内容表</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3"/>
        <w:gridCol w:w="2417"/>
        <w:gridCol w:w="978"/>
      </w:tblGrid>
      <w:tr>
        <w:trPr>
          <w:jc w:val="center"/>
          <w:trHeight w:val="20"/>
        </w:trPr>
        <w:tc>
          <w:tcPr>
            <w:tcW w:w="5853"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评审内容</w:t>
            </w:r>
            <w:r/>
          </w:p>
        </w:tc>
        <w:tc>
          <w:tcPr>
            <w:tcW w:w="2417"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是否合格（是/否）</w:t>
            </w:r>
            <w:r/>
          </w:p>
        </w:tc>
        <w:tc>
          <w:tcPr>
            <w:tcW w:w="978"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备注</w:t>
            </w:r>
            <w:r/>
          </w:p>
        </w:tc>
      </w:tr>
      <w:tr>
        <w:trPr>
          <w:jc w:val="center"/>
          <w:trHeight w:val="20"/>
        </w:trPr>
        <w:tc>
          <w:tcPr>
            <w:tcW w:w="5853"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1、合格谈判供应商的资格条件</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2、谈判响应产品的性能、数量、规格、技术要求等是否符合谈判文件要求</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3、售后服务要求、交货时间、付款方式等其他综合内容承诺</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4、其他（除供应商资格条件及采购技术内容以外的其他涉及实质性响应谈判文件的条款内容）</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right="480" w:firstLine="480"/>
        <w:spacing w:line="360" w:lineRule="auto"/>
        <w:tabs>
          <w:tab w:val="left" w:pos="7175" w:leader="none"/>
        </w:tabs>
        <w:rPr>
          <w:color w:val="auto"/>
          <w:highlight w:val="none"/>
        </w:rPr>
      </w:pPr>
      <w:r>
        <w:rPr>
          <w:rFonts w:ascii="宋体" w:hAnsi="宋体" w:eastAsia="宋体"/>
          <w:color w:val="auto"/>
          <w:sz w:val="24"/>
          <w:highlight w:val="none"/>
        </w:rPr>
        <w:tab/>
      </w:r>
      <w:r>
        <w:rPr>
          <w:rFonts w:hint="eastAsia" w:ascii="宋体" w:hAnsi="宋体" w:eastAsia="宋体"/>
          <w:color w:val="auto"/>
          <w:sz w:val="24"/>
          <w:highlight w:val="none"/>
        </w:rPr>
        <w:t xml:space="preserve">（全文完）</w:t>
      </w:r>
      <w:r/>
    </w:p>
    <w:sectPr>
      <w:headerReference w:type="default" r:id="rId12"/>
      <w:headerReference w:type="first" r:id="rId13"/>
      <w:footerReference w:type="default" r:id="rId23"/>
      <w:footerReference w:type="first" r:id="rId24"/>
      <w:footnotePr/>
      <w:endnotePr/>
      <w:type w:val="nextPage"/>
      <w:pgSz w:w="11906" w:h="16838" w:orient="portrait"/>
      <w:pgMar w:top="1134" w:right="1366" w:bottom="1134" w:left="1508" w:header="569"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7</w:t>
    </w:r>
    <w:r>
      <w:rPr>
        <w:rFonts w:ascii="Times New Roman" w:hAnsi="Times New Roman" w:eastAsia="宋体" w:cs="Times New Roman"/>
        <w:sz w:val="18"/>
        <w:szCs w:val="18"/>
        <w:lang w:val="en-US" w:eastAsia="zh-CN" w:bidi="ar-SA"/>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36</w:t>
    </w:r>
    <w:r>
      <w:rPr>
        <w:rFonts w:ascii="Times New Roman" w:hAnsi="Times New Roman" w:eastAsia="宋体" w:cs="Times New Roman"/>
        <w:sz w:val="18"/>
        <w:szCs w:val="18"/>
        <w:lang w:val="en-US" w:eastAsia="zh-CN" w:bidi="ar-SA"/>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44</w:t>
    </w:r>
    <w:r>
      <w:rPr>
        <w:rFonts w:ascii="Times New Roman" w:hAnsi="Times New Roman" w:eastAsia="宋体" w:cs="Times New Roman"/>
        <w:sz w:val="18"/>
        <w:szCs w:val="18"/>
        <w:lang w:val="en-US" w:eastAsia="zh-CN" w:bidi="ar-SA"/>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37</w:t>
    </w:r>
    <w:r>
      <w:rPr>
        <w:rFonts w:ascii="Times New Roman" w:hAnsi="Times New Roman" w:eastAsia="宋体" w:cs="Times New Roman"/>
        <w:sz w:val="18"/>
        <w:szCs w:val="18"/>
        <w:lang w:val="en-US" w:eastAsia="zh-CN" w:bidi="ar-SA"/>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t xml:space="preserve">52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t xml:space="preserve">45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eastAsia" w:ascii="Times New Roman" w:hAnsi="Times New Roman" w:eastAsia="宋体" w:cs="Times New Roman"/>
        <w:sz w:val="18"/>
        <w:szCs w:val="18"/>
        <w:lang w:val="en-US" w:eastAsia="zh-CN" w:bidi="ar-SA"/>
      </w:rPr>
      <w:pBdr>
        <w:bottom w:val="single" w:color="auto" w:sz="6" w:space="1"/>
      </w:pBdr>
    </w:pPr>
    <w:r>
      <w:rPr>
        <w:rFonts w:ascii="宋体" w:hAnsi="宋体" w:eastAsia="宋体" w:cs="Times New Roman"/>
        <w:sz w:val="21"/>
        <w:szCs w:val="21"/>
        <w:lang w:val="en-US" w:eastAsia="zh-CN" w:bidi="ar-SA"/>
      </w:rPr>
      <mc:AlternateContent>
        <mc:Choice Requires="wpg">
          <w:drawing>
            <wp:inline xmlns:wp="http://schemas.openxmlformats.org/drawingml/2006/wordprocessingDrawing" distT="0" distB="0" distL="0" distR="0">
              <wp:extent cx="381000" cy="208915"/>
              <wp:effectExtent l="0" t="0" r="0" b="635"/>
              <wp:docPr id="1" name="图片 6"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cs="Times New Roman"/>
        <w:sz w:val="21"/>
        <w:szCs w:val="21"/>
        <w:lang w:val="en-US" w:eastAsia="zh-CN" w:bidi="ar-SA"/>
      </w:rPr>
      <w:t xml:space="preserve">苏州乐慧招投标咨询有限公司                 采购编号：JSZC-320583-LHZX-T2025-0049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eastAsia" w:ascii="宋体" w:hAnsi="宋体" w:eastAsia="宋体" w:cs="Times New Roman"/>
        <w:sz w:val="21"/>
        <w:szCs w:val="21"/>
        <w:lang w:val="en-US" w:eastAsia="zh-CN" w:bidi="ar-SA"/>
      </w:rPr>
      <w:pBdr>
        <w:bottom w:val="single" w:color="auto" w:sz="6" w:space="1"/>
      </w:pBdr>
    </w:pPr>
    <w:r>
      <w:rPr>
        <w:rFonts w:ascii="宋体" w:hAnsi="宋体" w:eastAsia="宋体" w:cs="Times New Roman"/>
        <w:sz w:val="21"/>
        <w:szCs w:val="21"/>
        <w:lang w:val="en-US" w:eastAsia="zh-CN" w:bidi="ar-SA"/>
      </w:rPr>
      <mc:AlternateContent>
        <mc:Choice Requires="wpg">
          <w:drawing>
            <wp:inline xmlns:wp="http://schemas.openxmlformats.org/drawingml/2006/wordprocessingDrawing" distT="0" distB="0" distL="0" distR="0">
              <wp:extent cx="381000" cy="204470"/>
              <wp:effectExtent l="0" t="0" r="0" b="5080"/>
              <wp:docPr id="2" name="图片 5"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cs="Times New Roman"/>
        <w:sz w:val="21"/>
        <w:szCs w:val="21"/>
        <w:lang w:val="en-US" w:eastAsia="zh-CN" w:bidi="ar-SA"/>
      </w:rPr>
      <w:t xml:space="preserve">苏州乐慧招投标咨询有限公司                 采购编号：JSZC-320583-LHZX-T2025-0049</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8915"/>
              <wp:effectExtent l="0" t="0" r="0" b="635"/>
              <wp:docPr id="3" name="图片 3"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采购编号：</w:t>
    </w:r>
    <w:r>
      <w:rPr>
        <w:rFonts w:hint="eastAsia" w:ascii="宋体" w:hAnsi="宋体"/>
        <w:sz w:val="21"/>
        <w:szCs w:val="21"/>
        <w:lang w:eastAsia="zh-CN"/>
      </w:rPr>
      <w:t xml:space="preserve">JSZC-320583-LHZX-T2025-0049</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hint="eastAsia" w:ascii="宋体" w:hAnsi="宋体"/>
        <w:sz w:val="21"/>
        <w:szCs w:val="21"/>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4470"/>
              <wp:effectExtent l="0" t="0" r="0" b="5080"/>
              <wp:docPr id="4" name="图片 2"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w:t>
    </w:r>
    <w:r>
      <w:rPr>
        <w:rFonts w:hint="eastAsia" w:ascii="宋体" w:hAnsi="宋体"/>
        <w:sz w:val="21"/>
        <w:szCs w:val="21"/>
        <w:lang w:val="en-US" w:eastAsia="zh-CN"/>
      </w:rPr>
      <w:t xml:space="preserve">  </w:t>
    </w:r>
    <w:r>
      <w:rPr>
        <w:rFonts w:hint="eastAsia" w:ascii="宋体" w:hAnsi="宋体"/>
        <w:sz w:val="21"/>
        <w:szCs w:val="21"/>
      </w:rPr>
      <w:t xml:space="preserve">采购编号：</w:t>
    </w:r>
    <w:r>
      <w:rPr>
        <w:rFonts w:hint="eastAsia" w:ascii="宋体" w:hAnsi="宋体"/>
        <w:sz w:val="21"/>
        <w:szCs w:val="21"/>
        <w:lang w:eastAsia="zh-CN"/>
      </w:rPr>
      <w:t xml:space="preserve">JSZC-320583-LHZX-T2025-0049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81">
    <w:name w:val="Heading 1"/>
    <w:basedOn w:val="880"/>
    <w:next w:val="880"/>
    <w:uiPriority w:val="0"/>
    <w:qFormat/>
    <w:pPr>
      <w:keepLines/>
      <w:keepNext/>
      <w:spacing w:before="340" w:after="330" w:line="578" w:lineRule="auto"/>
      <w:outlineLvl w:val="0"/>
    </w:pPr>
    <w:rPr>
      <w:b/>
      <w:sz w:val="44"/>
    </w:rPr>
  </w:style>
  <w:style w:type="paragraph" w:styleId="882">
    <w:name w:val="Heading 2"/>
    <w:basedOn w:val="880"/>
    <w:next w:val="880"/>
    <w:uiPriority w:val="0"/>
    <w:qFormat/>
    <w:pPr>
      <w:jc w:val="left"/>
      <w:keepLines/>
      <w:keepNext/>
      <w:outlineLvl w:val="1"/>
    </w:pPr>
    <w:rPr>
      <w:rFonts w:ascii="宋体" w:hAnsi="宋体"/>
      <w:b/>
    </w:rPr>
  </w:style>
  <w:style w:type="paragraph" w:styleId="883">
    <w:name w:val="Heading 3"/>
    <w:basedOn w:val="880"/>
    <w:next w:val="880"/>
    <w:link w:val="925"/>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880"/>
    <w:next w:val="880"/>
    <w:link w:val="926"/>
    <w:uiPriority w:val="9"/>
    <w:unhideWhenUsed/>
    <w:qFormat/>
    <w:pPr>
      <w:keepLines/>
      <w:keepNext/>
      <w:spacing w:before="320" w:after="200"/>
      <w:outlineLvl w:val="3"/>
    </w:pPr>
    <w:rPr>
      <w:rFonts w:ascii="Arial" w:hAnsi="Arial" w:eastAsia="Arial" w:cs="Arial"/>
      <w:b/>
      <w:bCs/>
      <w:sz w:val="26"/>
      <w:szCs w:val="26"/>
    </w:rPr>
  </w:style>
  <w:style w:type="paragraph" w:styleId="885">
    <w:name w:val="Heading 5"/>
    <w:basedOn w:val="880"/>
    <w:next w:val="880"/>
    <w:link w:val="927"/>
    <w:uiPriority w:val="9"/>
    <w:unhideWhenUsed/>
    <w:qFormat/>
    <w:pPr>
      <w:keepLines/>
      <w:keepNext/>
      <w:spacing w:before="320" w:after="200"/>
      <w:outlineLvl w:val="4"/>
    </w:pPr>
    <w:rPr>
      <w:rFonts w:ascii="Arial" w:hAnsi="Arial" w:eastAsia="Arial" w:cs="Arial"/>
      <w:b/>
      <w:bCs/>
      <w:sz w:val="24"/>
      <w:szCs w:val="24"/>
    </w:rPr>
  </w:style>
  <w:style w:type="paragraph" w:styleId="886">
    <w:name w:val="Heading 6"/>
    <w:basedOn w:val="880"/>
    <w:next w:val="880"/>
    <w:link w:val="928"/>
    <w:uiPriority w:val="9"/>
    <w:unhideWhenUsed/>
    <w:qFormat/>
    <w:pPr>
      <w:keepLines/>
      <w:keepNext/>
      <w:spacing w:before="320" w:after="200"/>
      <w:outlineLvl w:val="5"/>
    </w:pPr>
    <w:rPr>
      <w:rFonts w:ascii="Arial" w:hAnsi="Arial" w:eastAsia="Arial" w:cs="Arial"/>
      <w:b/>
      <w:bCs/>
      <w:sz w:val="22"/>
      <w:szCs w:val="22"/>
    </w:rPr>
  </w:style>
  <w:style w:type="paragraph" w:styleId="887">
    <w:name w:val="Heading 7"/>
    <w:basedOn w:val="880"/>
    <w:next w:val="880"/>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Heading 8"/>
    <w:basedOn w:val="880"/>
    <w:next w:val="880"/>
    <w:link w:val="930"/>
    <w:uiPriority w:val="9"/>
    <w:unhideWhenUsed/>
    <w:qFormat/>
    <w:pPr>
      <w:keepLines/>
      <w:keepNext/>
      <w:spacing w:before="320" w:after="200"/>
      <w:outlineLvl w:val="7"/>
    </w:pPr>
    <w:rPr>
      <w:rFonts w:ascii="Arial" w:hAnsi="Arial" w:eastAsia="Arial" w:cs="Arial"/>
      <w:i/>
      <w:iCs/>
      <w:sz w:val="22"/>
      <w:szCs w:val="22"/>
    </w:rPr>
  </w:style>
  <w:style w:type="paragraph" w:styleId="889">
    <w:name w:val="Heading 9"/>
    <w:basedOn w:val="880"/>
    <w:next w:val="880"/>
    <w:link w:val="931"/>
    <w:uiPriority w:val="9"/>
    <w:unhideWhenUsed/>
    <w:qFormat/>
    <w:pPr>
      <w:keepLines/>
      <w:keepNext/>
      <w:spacing w:before="320" w:after="200"/>
      <w:outlineLvl w:val="8"/>
    </w:pPr>
    <w:rPr>
      <w:rFonts w:ascii="Arial" w:hAnsi="Arial" w:eastAsia="Arial" w:cs="Arial"/>
      <w:i/>
      <w:iCs/>
      <w:sz w:val="21"/>
      <w:szCs w:val="21"/>
    </w:rPr>
  </w:style>
  <w:style w:type="character" w:styleId="890" w:default="1">
    <w:name w:val="Default Paragraph Font"/>
    <w:uiPriority w:val="0"/>
    <w:semiHidden/>
    <w:qFormat/>
  </w:style>
  <w:style w:type="table" w:styleId="891" w:default="1">
    <w:name w:val="Normal Table"/>
    <w:uiPriority w:val="0"/>
    <w:semiHidden/>
    <w:qFormat/>
    <w:tblPr>
      <w:tblCellMar>
        <w:left w:w="108" w:type="dxa"/>
        <w:top w:w="0" w:type="dxa"/>
        <w:right w:w="108" w:type="dxa"/>
        <w:bottom w:w="0" w:type="dxa"/>
      </w:tblCellMar>
    </w:tblPr>
  </w:style>
  <w:style w:type="paragraph" w:styleId="892">
    <w:name w:val="toc 7"/>
    <w:basedOn w:val="880"/>
    <w:next w:val="880"/>
    <w:uiPriority w:val="39"/>
    <w:unhideWhenUsed/>
    <w:qFormat/>
    <w:pPr>
      <w:ind w:left="1701" w:right="0" w:firstLine="0"/>
      <w:spacing w:after="57"/>
    </w:pPr>
  </w:style>
  <w:style w:type="paragraph" w:styleId="893">
    <w:name w:val="Normal Indent"/>
    <w:basedOn w:val="880"/>
    <w:next w:val="880"/>
    <w:uiPriority w:val="0"/>
    <w:qFormat/>
    <w:pPr>
      <w:ind w:firstLine="420"/>
      <w:jc w:val="left"/>
    </w:pPr>
    <w:rPr>
      <w:sz w:val="24"/>
    </w:rPr>
  </w:style>
  <w:style w:type="paragraph" w:styleId="894">
    <w:name w:val="Caption"/>
    <w:basedOn w:val="880"/>
    <w:next w:val="88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5">
    <w:name w:val="annotation text"/>
    <w:basedOn w:val="880"/>
    <w:uiPriority w:val="0"/>
    <w:qFormat/>
    <w:pPr>
      <w:jc w:val="left"/>
    </w:pPr>
  </w:style>
  <w:style w:type="paragraph" w:styleId="896">
    <w:name w:val="Body Text"/>
    <w:basedOn w:val="880"/>
    <w:uiPriority w:val="0"/>
    <w:qFormat/>
    <w:pPr>
      <w:spacing w:line="400" w:lineRule="exact"/>
    </w:pPr>
    <w:rPr>
      <w:rFonts w:ascii="楷体_GB2312"/>
      <w:sz w:val="28"/>
    </w:rPr>
  </w:style>
  <w:style w:type="paragraph" w:styleId="897">
    <w:name w:val="Body Text Indent"/>
    <w:basedOn w:val="880"/>
    <w:uiPriority w:val="99"/>
    <w:unhideWhenUsed/>
    <w:qFormat/>
    <w:pPr>
      <w:ind w:left="420"/>
      <w:spacing w:after="120"/>
    </w:pPr>
  </w:style>
  <w:style w:type="paragraph" w:styleId="898">
    <w:name w:val="Block Text"/>
    <w:basedOn w:val="880"/>
    <w:uiPriority w:val="0"/>
    <w:qFormat/>
    <w:pPr>
      <w:ind w:left="735" w:right="-332" w:hanging="46"/>
      <w:spacing w:line="360" w:lineRule="auto"/>
    </w:pPr>
    <w:rPr>
      <w:rFonts w:ascii="宋体"/>
      <w:bCs/>
      <w:color w:val="000000"/>
      <w:sz w:val="24"/>
      <w:szCs w:val="20"/>
    </w:rPr>
  </w:style>
  <w:style w:type="paragraph" w:styleId="899">
    <w:name w:val="toc 5"/>
    <w:basedOn w:val="880"/>
    <w:next w:val="880"/>
    <w:uiPriority w:val="39"/>
    <w:unhideWhenUsed/>
    <w:qFormat/>
    <w:pPr>
      <w:ind w:left="1134" w:right="0" w:firstLine="0"/>
      <w:spacing w:after="57"/>
    </w:pPr>
  </w:style>
  <w:style w:type="paragraph" w:styleId="900">
    <w:name w:val="toc 3"/>
    <w:basedOn w:val="880"/>
    <w:next w:val="880"/>
    <w:uiPriority w:val="39"/>
    <w:unhideWhenUsed/>
    <w:qFormat/>
    <w:pPr>
      <w:ind w:left="567" w:right="0" w:firstLine="0"/>
      <w:spacing w:after="57"/>
    </w:pPr>
  </w:style>
  <w:style w:type="paragraph" w:styleId="901">
    <w:name w:val="Plain Text"/>
    <w:basedOn w:val="880"/>
    <w:uiPriority w:val="0"/>
    <w:qFormat/>
    <w:rPr>
      <w:rFonts w:ascii="宋体" w:hAnsi="Courier New"/>
    </w:rPr>
  </w:style>
  <w:style w:type="paragraph" w:styleId="902">
    <w:name w:val="toc 8"/>
    <w:basedOn w:val="880"/>
    <w:next w:val="880"/>
    <w:uiPriority w:val="39"/>
    <w:unhideWhenUsed/>
    <w:qFormat/>
    <w:pPr>
      <w:ind w:left="1984" w:right="0" w:firstLine="0"/>
      <w:spacing w:after="57"/>
    </w:pPr>
  </w:style>
  <w:style w:type="paragraph" w:styleId="903">
    <w:name w:val="Date"/>
    <w:basedOn w:val="880"/>
    <w:next w:val="880"/>
    <w:uiPriority w:val="0"/>
    <w:qFormat/>
    <w:rPr>
      <w:rFonts w:ascii="宋体" w:hAnsi="宋体"/>
      <w:sz w:val="24"/>
    </w:rPr>
  </w:style>
  <w:style w:type="paragraph" w:styleId="904">
    <w:name w:val="endnote text"/>
    <w:basedOn w:val="880"/>
    <w:link w:val="1069"/>
    <w:uiPriority w:val="99"/>
    <w:semiHidden/>
    <w:unhideWhenUsed/>
    <w:qFormat/>
    <w:pPr>
      <w:spacing w:after="0" w:line="240" w:lineRule="auto"/>
    </w:pPr>
    <w:rPr>
      <w:sz w:val="20"/>
    </w:rPr>
  </w:style>
  <w:style w:type="paragraph" w:styleId="905">
    <w:name w:val="Footer"/>
    <w:basedOn w:val="880"/>
    <w:uiPriority w:val="99"/>
    <w:unhideWhenUsed/>
    <w:qFormat/>
    <w:pPr>
      <w:jc w:val="left"/>
      <w:tabs>
        <w:tab w:val="center" w:pos="4153" w:leader="none"/>
        <w:tab w:val="right" w:pos="8306" w:leader="none"/>
      </w:tabs>
    </w:pPr>
    <w:rPr>
      <w:rFonts w:eastAsia="宋体"/>
      <w:sz w:val="18"/>
      <w:szCs w:val="18"/>
    </w:rPr>
  </w:style>
  <w:style w:type="paragraph" w:styleId="906">
    <w:name w:val="Header"/>
    <w:basedOn w:val="880"/>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07">
    <w:name w:val="toc 1"/>
    <w:basedOn w:val="880"/>
    <w:next w:val="880"/>
    <w:uiPriority w:val="0"/>
    <w:semiHidden/>
    <w:qFormat/>
    <w:pPr>
      <w:jc w:val="left"/>
    </w:pPr>
    <w:rPr>
      <w:sz w:val="24"/>
    </w:rPr>
  </w:style>
  <w:style w:type="paragraph" w:styleId="908">
    <w:name w:val="toc 4"/>
    <w:basedOn w:val="880"/>
    <w:next w:val="880"/>
    <w:uiPriority w:val="39"/>
    <w:unhideWhenUsed/>
    <w:qFormat/>
    <w:pPr>
      <w:ind w:left="850" w:right="0" w:firstLine="0"/>
      <w:spacing w:after="57"/>
    </w:pPr>
  </w:style>
  <w:style w:type="paragraph" w:styleId="909">
    <w:name w:val="Subtitle"/>
    <w:basedOn w:val="880"/>
    <w:next w:val="880"/>
    <w:link w:val="935"/>
    <w:uiPriority w:val="11"/>
    <w:qFormat/>
    <w:pPr>
      <w:spacing w:before="200" w:after="200"/>
    </w:pPr>
    <w:rPr>
      <w:sz w:val="24"/>
      <w:szCs w:val="24"/>
    </w:rPr>
  </w:style>
  <w:style w:type="paragraph" w:styleId="910">
    <w:name w:val="footnote text"/>
    <w:basedOn w:val="880"/>
    <w:link w:val="1068"/>
    <w:uiPriority w:val="99"/>
    <w:semiHidden/>
    <w:unhideWhenUsed/>
    <w:qFormat/>
    <w:pPr>
      <w:spacing w:after="40" w:line="240" w:lineRule="auto"/>
    </w:pPr>
    <w:rPr>
      <w:sz w:val="18"/>
    </w:rPr>
  </w:style>
  <w:style w:type="paragraph" w:styleId="911">
    <w:name w:val="toc 6"/>
    <w:basedOn w:val="880"/>
    <w:next w:val="880"/>
    <w:uiPriority w:val="39"/>
    <w:unhideWhenUsed/>
    <w:qFormat/>
    <w:pPr>
      <w:ind w:left="1417" w:right="0" w:firstLine="0"/>
      <w:spacing w:after="57"/>
    </w:pPr>
  </w:style>
  <w:style w:type="paragraph" w:styleId="912">
    <w:name w:val="table of figures"/>
    <w:basedOn w:val="880"/>
    <w:next w:val="880"/>
    <w:uiPriority w:val="99"/>
    <w:unhideWhenUsed/>
    <w:qFormat/>
    <w:pPr>
      <w:spacing w:after="0" w:afterAutospacing="0"/>
    </w:pPr>
  </w:style>
  <w:style w:type="paragraph" w:styleId="913">
    <w:name w:val="toc 2"/>
    <w:basedOn w:val="880"/>
    <w:next w:val="880"/>
    <w:uiPriority w:val="39"/>
    <w:unhideWhenUsed/>
    <w:qFormat/>
    <w:pPr>
      <w:ind w:left="283" w:right="0" w:firstLine="0"/>
      <w:spacing w:after="57"/>
    </w:pPr>
  </w:style>
  <w:style w:type="paragraph" w:styleId="914">
    <w:name w:val="toc 9"/>
    <w:basedOn w:val="880"/>
    <w:next w:val="880"/>
    <w:uiPriority w:val="39"/>
    <w:unhideWhenUsed/>
    <w:qFormat/>
    <w:pPr>
      <w:ind w:left="2268" w:right="0" w:firstLine="0"/>
      <w:spacing w:after="57"/>
    </w:pPr>
  </w:style>
  <w:style w:type="paragraph" w:styleId="915">
    <w:name w:val="Title"/>
    <w:basedOn w:val="880"/>
    <w:next w:val="880"/>
    <w:link w:val="934"/>
    <w:uiPriority w:val="10"/>
    <w:qFormat/>
    <w:pPr>
      <w:contextualSpacing/>
      <w:spacing w:before="300" w:after="200"/>
    </w:pPr>
    <w:rPr>
      <w:sz w:val="48"/>
      <w:szCs w:val="48"/>
    </w:rPr>
  </w:style>
  <w:style w:type="paragraph" w:styleId="916">
    <w:name w:val="Body Text First Indent 2"/>
    <w:basedOn w:val="897"/>
    <w:uiPriority w:val="99"/>
    <w:unhideWhenUsed/>
    <w:qFormat/>
    <w:pPr>
      <w:ind w:firstLine="420"/>
    </w:pPr>
  </w:style>
  <w:style w:type="table" w:styleId="917">
    <w:name w:val="Table Grid"/>
    <w:basedOn w:val="89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endnote reference"/>
    <w:basedOn w:val="890"/>
    <w:uiPriority w:val="99"/>
    <w:semiHidden/>
    <w:unhideWhenUsed/>
    <w:qFormat/>
    <w:rPr>
      <w:vertAlign w:val="superscript"/>
    </w:rPr>
  </w:style>
  <w:style w:type="character" w:styleId="919">
    <w:name w:val="Hyperlink"/>
    <w:uiPriority w:val="0"/>
    <w:qFormat/>
    <w:rPr>
      <w:color w:val="0000ff"/>
      <w:u w:val="single"/>
    </w:rPr>
  </w:style>
  <w:style w:type="character" w:styleId="920">
    <w:name w:val="footnote reference"/>
    <w:basedOn w:val="890"/>
    <w:uiPriority w:val="99"/>
    <w:unhideWhenUsed/>
    <w:qFormat/>
    <w:rPr>
      <w:vertAlign w:val="superscript"/>
    </w:rPr>
  </w:style>
  <w:style w:type="paragraph" w:styleId="921" w:customStyle="1">
    <w:name w:val="_Style 1"/>
    <w:uiPriority w:val="1"/>
    <w:qFormat/>
    <w:rPr>
      <w:rFonts w:ascii="Tahoma" w:hAnsi="Tahoma" w:eastAsia="宋体" w:cs="Times New Roman"/>
      <w:sz w:val="22"/>
      <w:szCs w:val="22"/>
      <w:lang w:val="en-US" w:eastAsia="zh-CN" w:bidi="ar-SA"/>
    </w:rPr>
  </w:style>
  <w:style w:type="paragraph" w:styleId="922"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923" w:customStyle="1">
    <w:name w:val="Heading 1 Char"/>
    <w:basedOn w:val="890"/>
    <w:uiPriority w:val="9"/>
    <w:qFormat/>
    <w:rPr>
      <w:rFonts w:ascii="Arial" w:hAnsi="Arial" w:eastAsia="Arial" w:cs="Arial"/>
      <w:sz w:val="40"/>
      <w:szCs w:val="40"/>
    </w:rPr>
  </w:style>
  <w:style w:type="character" w:styleId="924" w:customStyle="1">
    <w:name w:val="Heading 2 Char"/>
    <w:basedOn w:val="890"/>
    <w:uiPriority w:val="9"/>
    <w:qFormat/>
    <w:rPr>
      <w:rFonts w:ascii="Arial" w:hAnsi="Arial" w:eastAsia="Arial" w:cs="Arial"/>
      <w:sz w:val="34"/>
    </w:rPr>
  </w:style>
  <w:style w:type="character" w:styleId="925" w:customStyle="1">
    <w:name w:val="Heading 3 Char"/>
    <w:basedOn w:val="890"/>
    <w:link w:val="883"/>
    <w:uiPriority w:val="9"/>
    <w:qFormat/>
    <w:rPr>
      <w:rFonts w:ascii="Arial" w:hAnsi="Arial" w:eastAsia="Arial" w:cs="Arial"/>
      <w:sz w:val="30"/>
      <w:szCs w:val="30"/>
    </w:rPr>
  </w:style>
  <w:style w:type="character" w:styleId="926" w:customStyle="1">
    <w:name w:val="Heading 4 Char"/>
    <w:basedOn w:val="890"/>
    <w:link w:val="884"/>
    <w:uiPriority w:val="9"/>
    <w:qFormat/>
    <w:rPr>
      <w:rFonts w:ascii="Arial" w:hAnsi="Arial" w:eastAsia="Arial" w:cs="Arial"/>
      <w:b/>
      <w:bCs/>
      <w:sz w:val="26"/>
      <w:szCs w:val="26"/>
    </w:rPr>
  </w:style>
  <w:style w:type="character" w:styleId="927" w:customStyle="1">
    <w:name w:val="Heading 5 Char"/>
    <w:basedOn w:val="890"/>
    <w:link w:val="885"/>
    <w:uiPriority w:val="9"/>
    <w:qFormat/>
    <w:rPr>
      <w:rFonts w:ascii="Arial" w:hAnsi="Arial" w:eastAsia="Arial" w:cs="Arial"/>
      <w:b/>
      <w:bCs/>
      <w:sz w:val="24"/>
      <w:szCs w:val="24"/>
    </w:rPr>
  </w:style>
  <w:style w:type="character" w:styleId="928" w:customStyle="1">
    <w:name w:val="Heading 6 Char"/>
    <w:basedOn w:val="890"/>
    <w:link w:val="886"/>
    <w:uiPriority w:val="9"/>
    <w:qFormat/>
    <w:rPr>
      <w:rFonts w:ascii="Arial" w:hAnsi="Arial" w:eastAsia="Arial" w:cs="Arial"/>
      <w:b/>
      <w:bCs/>
      <w:sz w:val="22"/>
      <w:szCs w:val="22"/>
    </w:rPr>
  </w:style>
  <w:style w:type="character" w:styleId="929" w:customStyle="1">
    <w:name w:val="Heading 7 Char"/>
    <w:basedOn w:val="890"/>
    <w:link w:val="887"/>
    <w:uiPriority w:val="9"/>
    <w:qFormat/>
    <w:rPr>
      <w:rFonts w:ascii="Arial" w:hAnsi="Arial" w:eastAsia="Arial" w:cs="Arial"/>
      <w:b/>
      <w:bCs/>
      <w:i/>
      <w:iCs/>
      <w:sz w:val="22"/>
      <w:szCs w:val="22"/>
    </w:rPr>
  </w:style>
  <w:style w:type="character" w:styleId="930" w:customStyle="1">
    <w:name w:val="Heading 8 Char"/>
    <w:basedOn w:val="890"/>
    <w:link w:val="888"/>
    <w:uiPriority w:val="9"/>
    <w:qFormat/>
    <w:rPr>
      <w:rFonts w:ascii="Arial" w:hAnsi="Arial" w:eastAsia="Arial" w:cs="Arial"/>
      <w:i/>
      <w:iCs/>
      <w:sz w:val="22"/>
      <w:szCs w:val="22"/>
    </w:rPr>
  </w:style>
  <w:style w:type="character" w:styleId="931" w:customStyle="1">
    <w:name w:val="Heading 9 Char"/>
    <w:basedOn w:val="890"/>
    <w:link w:val="889"/>
    <w:uiPriority w:val="9"/>
    <w:qFormat/>
    <w:rPr>
      <w:rFonts w:ascii="Arial" w:hAnsi="Arial" w:eastAsia="Arial" w:cs="Arial"/>
      <w:i/>
      <w:iCs/>
      <w:sz w:val="21"/>
      <w:szCs w:val="21"/>
    </w:rPr>
  </w:style>
  <w:style w:type="paragraph" w:styleId="932">
    <w:name w:val="List Paragraph"/>
    <w:basedOn w:val="880"/>
    <w:uiPriority w:val="34"/>
    <w:qFormat/>
    <w:pPr>
      <w:contextualSpacing/>
      <w:ind w:left="720"/>
    </w:pPr>
  </w:style>
  <w:style w:type="paragraph" w:styleId="933">
    <w:name w:val="No Spacing"/>
    <w:uiPriority w:val="1"/>
    <w:qFormat/>
    <w:pPr>
      <w:spacing w:before="0" w:after="0" w:line="240" w:lineRule="auto"/>
    </w:pPr>
    <w:rPr>
      <w:rFonts w:hint="default" w:asciiTheme="minorHAnsi" w:hAnsiTheme="minorHAnsi" w:eastAsiaTheme="minorEastAsia" w:cstheme="minorBidi"/>
    </w:rPr>
  </w:style>
  <w:style w:type="character" w:styleId="934" w:customStyle="1">
    <w:name w:val="Title Char"/>
    <w:basedOn w:val="890"/>
    <w:link w:val="915"/>
    <w:uiPriority w:val="10"/>
    <w:qFormat/>
    <w:rPr>
      <w:sz w:val="48"/>
      <w:szCs w:val="48"/>
    </w:rPr>
  </w:style>
  <w:style w:type="character" w:styleId="935" w:customStyle="1">
    <w:name w:val="Subtitle Char"/>
    <w:basedOn w:val="890"/>
    <w:link w:val="909"/>
    <w:uiPriority w:val="11"/>
    <w:qFormat/>
    <w:rPr>
      <w:sz w:val="24"/>
      <w:szCs w:val="24"/>
    </w:rPr>
  </w:style>
  <w:style w:type="paragraph" w:styleId="936">
    <w:name w:val="Quote"/>
    <w:basedOn w:val="880"/>
    <w:next w:val="880"/>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80"/>
    <w:next w:val="880"/>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90"/>
    <w:uiPriority w:val="99"/>
    <w:qFormat/>
  </w:style>
  <w:style w:type="character" w:styleId="941" w:customStyle="1">
    <w:name w:val="Footer Char"/>
    <w:basedOn w:val="890"/>
    <w:uiPriority w:val="99"/>
    <w:qFormat/>
  </w:style>
  <w:style w:type="character" w:styleId="942" w:customStyle="1">
    <w:name w:val="Caption Char"/>
    <w:uiPriority w:val="99"/>
    <w:qFormat/>
  </w:style>
  <w:style w:type="table" w:styleId="943" w:customStyle="1">
    <w:name w:val="Table Grid Light"/>
    <w:basedOn w:val="8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63" w:customStyle="1">
    <w:name w:val="Grid Table 3"/>
    <w:basedOn w:val="8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9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2" w:customStyle="1">
    <w:name w:val="Grid Table 4 - Accent 2"/>
    <w:basedOn w:val="89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73" w:customStyle="1">
    <w:name w:val="Grid Table 4 - Accent 3"/>
    <w:basedOn w:val="89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4" w:customStyle="1">
    <w:name w:val="Grid Table 4 - Accent 4"/>
    <w:basedOn w:val="89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5" w:customStyle="1">
    <w:name w:val="Grid Table 4 - Accent 5"/>
    <w:basedOn w:val="89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6" w:customStyle="1">
    <w:name w:val="Grid Table 4 - Accent 6"/>
    <w:basedOn w:val="89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7" w:customStyle="1">
    <w:name w:val="Grid Table 5 Dark"/>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9" w:customStyle="1">
    <w:name w:val="Grid Table 5 Dark - Accent 2"/>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0" w:customStyle="1">
    <w:name w:val="Grid Table 5 Dark - Accent 3"/>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1" w:customStyle="1">
    <w:name w:val="Grid Table 5 Dark- Accent 4"/>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2" w:customStyle="1">
    <w:name w:val="Grid Table 5 Dark - Accent 5"/>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83" w:customStyle="1">
    <w:name w:val="Grid Table 5 Dark - Accent 6"/>
    <w:basedOn w:val="8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4" w:customStyle="1">
    <w:name w:val="Grid Table 6 Colorful"/>
    <w:basedOn w:val="8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9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9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9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0" w:customStyle="1">
    <w:name w:val="Grid Table 6 Colorful - Accent 6"/>
    <w:basedOn w:val="89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1" w:customStyle="1">
    <w:name w:val="Grid Table 7 Colorful"/>
    <w:basedOn w:val="8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9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9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9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9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9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9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9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9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9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9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9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9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5" w:customStyle="1">
    <w:name w:val="List Table 2"/>
    <w:basedOn w:val="8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9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7" w:customStyle="1">
    <w:name w:val="List Table 2 - Accent 2"/>
    <w:basedOn w:val="89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8" w:customStyle="1">
    <w:name w:val="List Table 2 - Accent 3"/>
    <w:basedOn w:val="89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9" w:customStyle="1">
    <w:name w:val="List Table 2 - Accent 4"/>
    <w:basedOn w:val="89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10" w:customStyle="1">
    <w:name w:val="List Table 2 - Accent 5"/>
    <w:basedOn w:val="89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11" w:customStyle="1">
    <w:name w:val="List Table 2 - Accent 6"/>
    <w:basedOn w:val="89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12" w:customStyle="1">
    <w:name w:val="List Table 3"/>
    <w:basedOn w:val="8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9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4" w:customStyle="1">
    <w:name w:val="List Table 3 - Accent 2"/>
    <w:basedOn w:val="8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9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9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9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9" w:customStyle="1">
    <w:name w:val="List Table 4"/>
    <w:basedOn w:val="8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9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1" w:customStyle="1">
    <w:name w:val="List Table 4 - Accent 2"/>
    <w:basedOn w:val="89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2" w:customStyle="1">
    <w:name w:val="List Table 4 - Accent 3"/>
    <w:basedOn w:val="89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23" w:customStyle="1">
    <w:name w:val="List Table 4 - Accent 4"/>
    <w:basedOn w:val="89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4" w:customStyle="1">
    <w:name w:val="List Table 4 - Accent 5"/>
    <w:basedOn w:val="89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5" w:customStyle="1">
    <w:name w:val="List Table 4 - Accent 6"/>
    <w:basedOn w:val="89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6" w:customStyle="1">
    <w:name w:val="List Table 5 Dark"/>
    <w:basedOn w:val="8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9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9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9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9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9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9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9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5" w:customStyle="1">
    <w:name w:val="List Table 6 Colorful - Accent 2"/>
    <w:basedOn w:val="89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36" w:customStyle="1">
    <w:name w:val="List Table 6 Colorful - Accent 3"/>
    <w:basedOn w:val="89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7" w:customStyle="1">
    <w:name w:val="List Table 6 Colorful - Accent 4"/>
    <w:basedOn w:val="89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8" w:customStyle="1">
    <w:name w:val="List Table 6 Colorful - Accent 5"/>
    <w:basedOn w:val="89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9" w:customStyle="1">
    <w:name w:val="List Table 6 Colorful - Accent 6"/>
    <w:basedOn w:val="89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40" w:customStyle="1">
    <w:name w:val="List Table 7 Colorful"/>
    <w:basedOn w:val="8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9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9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9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9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9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9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9" w:customStyle="1">
    <w:name w:val="Lined - Accent 2"/>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0" w:customStyle="1">
    <w:name w:val="Lined - Accent 3"/>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1" w:customStyle="1">
    <w:name w:val="Lined - Accent 4"/>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2" w:customStyle="1">
    <w:name w:val="Lined - Accent 5"/>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3" w:customStyle="1">
    <w:name w:val="Lined - Accent 6"/>
    <w:basedOn w:val="8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4" w:customStyle="1">
    <w:name w:val="Bordered &amp; Lined - Accent"/>
    <w:basedOn w:val="8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9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6" w:customStyle="1">
    <w:name w:val="Bordered &amp; Lined - Accent 2"/>
    <w:basedOn w:val="89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7" w:customStyle="1">
    <w:name w:val="Bordered &amp; Lined - Accent 3"/>
    <w:basedOn w:val="89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8" w:customStyle="1">
    <w:name w:val="Bordered &amp; Lined - Accent 4"/>
    <w:basedOn w:val="89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9" w:customStyle="1">
    <w:name w:val="Bordered &amp; Lined - Accent 5"/>
    <w:basedOn w:val="89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0" w:customStyle="1">
    <w:name w:val="Bordered &amp; Lined - Accent 6"/>
    <w:basedOn w:val="89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1" w:customStyle="1">
    <w:name w:val="Bordered"/>
    <w:basedOn w:val="8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63" w:customStyle="1">
    <w:name w:val="Bordered - Accent 2"/>
    <w:basedOn w:val="8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4" w:customStyle="1">
    <w:name w:val="Bordered - Accent 3"/>
    <w:basedOn w:val="8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5" w:customStyle="1">
    <w:name w:val="Bordered - Accent 4"/>
    <w:basedOn w:val="8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6" w:customStyle="1">
    <w:name w:val="Bordered - Accent 5"/>
    <w:basedOn w:val="8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7" w:customStyle="1">
    <w:name w:val="Bordered - Accent 6"/>
    <w:basedOn w:val="8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8" w:customStyle="1">
    <w:name w:val="Footnote Text Char"/>
    <w:link w:val="910"/>
    <w:uiPriority w:val="99"/>
    <w:qFormat/>
    <w:rPr>
      <w:sz w:val="18"/>
    </w:rPr>
  </w:style>
  <w:style w:type="character" w:styleId="1069" w:customStyle="1">
    <w:name w:val="Endnote Text Char"/>
    <w:link w:val="904"/>
    <w:uiPriority w:val="99"/>
    <w:qFormat/>
    <w:rPr>
      <w:sz w:val="20"/>
    </w:rPr>
  </w:style>
  <w:style w:type="paragraph" w:styleId="1070" w:customStyle="1">
    <w:name w:val="TOC Heading"/>
    <w:uiPriority w:val="39"/>
    <w:unhideWhenUsed/>
    <w:qFormat/>
    <w:rPr>
      <w:rFonts w:hint="default" w:asciiTheme="minorHAnsi" w:hAnsiTheme="minorHAnsi" w:eastAsiaTheme="minorEastAsia" w:cstheme="minorBidi"/>
    </w:rPr>
  </w:style>
  <w:style w:type="paragraph" w:styleId="1071" w:customStyle="1">
    <w:name w:val="纯文本1"/>
    <w:basedOn w:val="880"/>
    <w:uiPriority w:val="0"/>
    <w:qFormat/>
    <w:rPr>
      <w:rFonts w:ascii="宋体" w:hAnsi="Courier New"/>
    </w:rPr>
  </w:style>
  <w:style w:type="paragraph" w:styleId="1072" w:customStyle="1">
    <w:name w:val="纯文本5"/>
    <w:basedOn w:val="880"/>
    <w:uiPriority w:val="0"/>
    <w:qFormat/>
    <w:rPr>
      <w:rFonts w:ascii="宋体" w:hAnsi="Courier New"/>
    </w:rPr>
  </w:style>
  <w:style w:type="character" w:styleId="1073" w:customStyle="1">
    <w:name w:val="mark"/>
    <w:basedOn w:val="890"/>
    <w:uiPriority w:val="0"/>
    <w:qFormat/>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6</cp:revision>
  <dcterms:created xsi:type="dcterms:W3CDTF">2024-04-11T01:58:00Z</dcterms:created>
  <dcterms:modified xsi:type="dcterms:W3CDTF">2025-11-14T06:07:34Z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AAF1ABA51BF94A828DA0B00E32C85720_13</vt:lpwstr>
  </property>
  <property fmtid="{D5CDD505-2E9C-101B-9397-08002B2CF9AE}" pid="4" name="KSOTemplateDocerSaveRecord">
    <vt:lpwstr>eyJoZGlkIjoiMzFlODM0ZTRlYmQ0YWQ5MDRlODdkYjZmZjA5NTk2MjIiLCJ1c2VySWQiOiIzNjE2Mzc1MzkifQ==</vt:lpwstr>
  </property>
</Properties>
</file>